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6101" w14:textId="77777777" w:rsidR="006A49E8" w:rsidRDefault="005219BA">
      <w:pPr>
        <w:spacing w:after="160" w:line="264" w:lineRule="auto"/>
      </w:pPr>
      <w:r>
        <w:rPr>
          <w:noProof/>
          <w:lang w:eastAsia="en-US"/>
        </w:rPr>
        <mc:AlternateContent>
          <mc:Choice Requires="wps">
            <w:drawing>
              <wp:anchor distT="0" distB="0" distL="114300" distR="114300" simplePos="0" relativeHeight="251670528" behindDoc="0" locked="0" layoutInCell="1" allowOverlap="1" wp14:anchorId="7A645414" wp14:editId="75FA87F6">
                <wp:simplePos x="0" y="0"/>
                <wp:positionH relativeFrom="column">
                  <wp:posOffset>-201304</wp:posOffset>
                </wp:positionH>
                <wp:positionV relativeFrom="paragraph">
                  <wp:posOffset>174009</wp:posOffset>
                </wp:positionV>
                <wp:extent cx="5162550" cy="852198"/>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852198"/>
                        </a:xfrm>
                        <a:prstGeom prst="rect">
                          <a:avLst/>
                        </a:prstGeom>
                        <a:solidFill>
                          <a:srgbClr val="FFFFFF"/>
                        </a:solidFill>
                        <a:ln w="6350">
                          <a:noFill/>
                        </a:ln>
                        <a:effectLst/>
                      </wps:spPr>
                      <wps:txbx>
                        <w:txbxContent>
                          <w:p w14:paraId="31A6159B" w14:textId="77777777" w:rsidR="00CC017A" w:rsidRPr="00FC0270" w:rsidRDefault="00CC017A" w:rsidP="00FC0270">
                            <w:pPr>
                              <w:tabs>
                                <w:tab w:val="left" w:pos="900"/>
                              </w:tabs>
                              <w:ind w:left="900" w:hanging="900"/>
                              <w:rPr>
                                <w:b/>
                              </w:rPr>
                            </w:pPr>
                            <w:r w:rsidRPr="00FC0270">
                              <w:rPr>
                                <w:b/>
                              </w:rPr>
                              <w:t>To:</w:t>
                            </w:r>
                            <w:r w:rsidRPr="00FC0270">
                              <w:rPr>
                                <w:b/>
                              </w:rPr>
                              <w:tab/>
                            </w:r>
                            <w:r w:rsidRPr="00FC0270">
                              <w:t>Building Code Officials, Building Owner, Contractors, Manufactu</w:t>
                            </w:r>
                            <w:r>
                              <w:t>r</w:t>
                            </w:r>
                            <w:r w:rsidRPr="00FC0270">
                              <w:t xml:space="preserve">ers and </w:t>
                            </w:r>
                            <w:r>
                              <w:t>S</w:t>
                            </w:r>
                            <w:r w:rsidRPr="00FC0270">
                              <w:t>pecifiers</w:t>
                            </w:r>
                          </w:p>
                          <w:p w14:paraId="4B97A842" w14:textId="77777777" w:rsidR="00CC017A" w:rsidRPr="00FC0270" w:rsidRDefault="00CC017A" w:rsidP="00CC017A">
                            <w:pPr>
                              <w:ind w:left="900" w:hanging="900"/>
                            </w:pPr>
                            <w:r w:rsidRPr="00FC0270">
                              <w:rPr>
                                <w:b/>
                              </w:rPr>
                              <w:t>Topic:</w:t>
                            </w:r>
                            <w:r>
                              <w:rPr>
                                <w:b/>
                              </w:rPr>
                              <w:tab/>
                            </w:r>
                            <w:r w:rsidRPr="00FC0270">
                              <w:t>Code Evaluations for Roofing Products</w:t>
                            </w:r>
                          </w:p>
                          <w:p w14:paraId="141EDAB9" w14:textId="77777777" w:rsidR="00CC017A" w:rsidRPr="00272358" w:rsidRDefault="00CC017A" w:rsidP="00272358">
                            <w:pPr>
                              <w:tabs>
                                <w:tab w:val="left" w:pos="900"/>
                              </w:tabs>
                              <w:ind w:left="900" w:hanging="90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85pt;margin-top:13.7pt;width:406.5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vvTgIAAKMEAAAOAAAAZHJzL2Uyb0RvYy54bWysVE1vGjEQvVfqf7B8bxZISAliiWgiqkoo&#10;iRSinI3XC6t6Pa5t2E1/fZ+9S0LTnqpyMOOZ5/l8s7PrttbsoJyvyOR8eDbgTBlJRWW2OX9aLz9N&#10;OPNBmEJoMirnL8rz6/nHD7PGTtWIdqQL5RicGD9tbM53Idhplnm5U7XwZ2SVgbEkV4uAq9tmhRMN&#10;vNc6Gw0Gl1lDrrCOpPIe2tvOyOfJf1kqGe7L0qvAdM6RW0inS+cmntl8JqZbJ+yukn0a4h+yqEVl&#10;EPTV1a0Igu1d9YerupKOPJXhTFKdUVlWUqUaUM1w8K6ax52wKtWC5nj72ib//9zKu8ODY1WB2Z1z&#10;ZkSNGa1VG9gXahlU6E9j/RSwRwtgaKEHNtXq7Yrkdw9IdoLpHnigYz/a0tXxH5UyPMQIXl7bHsNI&#10;KMfDy9F4DJOEbTIeDa8mMW729to6H74qqlkUcu4w1pSBOKx86KBHSAzmSVfFstI6Xdx2c6MdOwhQ&#10;YJl+vfffYNqwJueX58gjvjIU33eutYkaldjUx4v1diVGKbSbFtAobqh4QZ8cdUzzVi4r5LwSPjwI&#10;B2qhTKxLuMdRakJI6iXOduR+/k0f8Zg4rJw1oGrO/Y+9cIoz/c2AC1fDi4vI7XS5GH8e4eJOLZtT&#10;i9nXN4RWDLGYViYx4oM+iqWj+hlbtYhRYRJGInbOw1G8Cd0CYSulWiwSCGy2IqzMo5VHesSJrNtn&#10;4Ww/toCB39GR1GL6bnodtmv+Yh+orNJo37ra8wybkMjRb21ctdN7Qr19W+a/AAAA//8DAFBLAwQU&#10;AAYACAAAACEAgO4uGN8AAAAKAQAADwAAAGRycy9kb3ducmV2LnhtbEyPQWvCQBCF7wX/wzJCb7qJ&#10;lkTTbEQEKRQ8NLb3NTsmodnZkN1o/Pedntrj8D7e+ybfTbYTNxx860hBvIxAIFXOtFQr+DwfFxsQ&#10;PmgyunOECh7oYVfMnnKdGXenD7yVoRZcQj7TCpoQ+kxKXzVotV+6HomzqxusDnwOtTSDvnO57eQq&#10;ihJpdUu80OgeDw1W3+VoFbyXyQH9dD19pdvqTUbjtqwfJ6We59P+FUTAKfzB8KvP6lCw08WNZLzo&#10;FCzWccqoglX6AoKBdBOvQVyYTOIEZJHL/y8UPwAAAP//AwBQSwECLQAUAAYACAAAACEAtoM4kv4A&#10;AADhAQAAEwAAAAAAAAAAAAAAAAAAAAAAW0NvbnRlbnRfVHlwZXNdLnhtbFBLAQItABQABgAIAAAA&#10;IQA4/SH/1gAAAJQBAAALAAAAAAAAAAAAAAAAAC8BAABfcmVscy8ucmVsc1BLAQItABQABgAIAAAA&#10;IQCRKLvvTgIAAKMEAAAOAAAAAAAAAAAAAAAAAC4CAABkcnMvZTJvRG9jLnhtbFBLAQItABQABgAI&#10;AAAAIQCA7i4Y3wAAAAoBAAAPAAAAAAAAAAAAAAAAAKgEAABkcnMvZG93bnJldi54bWxQSwUGAAAA&#10;AAQABADzAAAAtAUAAAAA&#10;" stroked="f" strokeweight=".5pt">
                <v:path arrowok="t"/>
                <v:textbox>
                  <w:txbxContent>
                    <w:p w:rsidR="00CC017A" w:rsidRPr="00FC0270" w:rsidRDefault="00CC017A" w:rsidP="00FC0270">
                      <w:pPr>
                        <w:tabs>
                          <w:tab w:val="left" w:pos="900"/>
                        </w:tabs>
                        <w:ind w:left="900" w:hanging="900"/>
                        <w:rPr>
                          <w:b/>
                        </w:rPr>
                      </w:pPr>
                      <w:r w:rsidRPr="00FC0270">
                        <w:rPr>
                          <w:b/>
                        </w:rPr>
                        <w:t>To:</w:t>
                      </w:r>
                      <w:r w:rsidRPr="00FC0270">
                        <w:rPr>
                          <w:b/>
                        </w:rPr>
                        <w:tab/>
                      </w:r>
                      <w:r w:rsidRPr="00FC0270">
                        <w:t>Building Code Officials, Building Owner, Contractors, Manufactu</w:t>
                      </w:r>
                      <w:r>
                        <w:t>r</w:t>
                      </w:r>
                      <w:r w:rsidRPr="00FC0270">
                        <w:t xml:space="preserve">ers and </w:t>
                      </w:r>
                      <w:proofErr w:type="spellStart"/>
                      <w:r>
                        <w:t>S</w:t>
                      </w:r>
                      <w:r w:rsidRPr="00FC0270">
                        <w:t>pecifiers</w:t>
                      </w:r>
                      <w:proofErr w:type="spellEnd"/>
                    </w:p>
                    <w:p w:rsidR="00CC017A" w:rsidRPr="00FC0270" w:rsidRDefault="00CC017A" w:rsidP="00CC017A">
                      <w:pPr>
                        <w:ind w:left="900" w:hanging="900"/>
                      </w:pPr>
                      <w:r w:rsidRPr="00FC0270">
                        <w:rPr>
                          <w:b/>
                        </w:rPr>
                        <w:t>Topic:</w:t>
                      </w:r>
                      <w:r>
                        <w:rPr>
                          <w:b/>
                        </w:rPr>
                        <w:tab/>
                      </w:r>
                      <w:r w:rsidRPr="00FC0270">
                        <w:t>Code Evaluations for Roofing Products</w:t>
                      </w:r>
                    </w:p>
                    <w:p w:rsidR="00CC017A" w:rsidRPr="00272358" w:rsidRDefault="00CC017A" w:rsidP="00272358">
                      <w:pPr>
                        <w:tabs>
                          <w:tab w:val="left" w:pos="900"/>
                        </w:tabs>
                        <w:ind w:left="900" w:hanging="900"/>
                        <w:rPr>
                          <w:b/>
                        </w:rPr>
                      </w:pPr>
                    </w:p>
                  </w:txbxContent>
                </v:textbox>
              </v:shape>
            </w:pict>
          </mc:Fallback>
        </mc:AlternateContent>
      </w:r>
      <w:r w:rsidR="00AF37D4">
        <w:rPr>
          <w:noProof/>
          <w:lang w:eastAsia="en-US"/>
        </w:rPr>
        <mc:AlternateContent>
          <mc:Choice Requires="wps">
            <w:drawing>
              <wp:anchor distT="0" distB="0" distL="114300" distR="114300" simplePos="0" relativeHeight="251662336" behindDoc="0" locked="0" layoutInCell="1" allowOverlap="1" wp14:anchorId="273EDC95" wp14:editId="31A10F7B">
                <wp:simplePos x="0" y="0"/>
                <wp:positionH relativeFrom="column">
                  <wp:posOffset>-276225</wp:posOffset>
                </wp:positionH>
                <wp:positionV relativeFrom="paragraph">
                  <wp:posOffset>-334010</wp:posOffset>
                </wp:positionV>
                <wp:extent cx="5305425" cy="1363345"/>
                <wp:effectExtent l="19050" t="19050" r="2857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36334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1.75pt;margin-top:-26.3pt;width:417.75pt;height:10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zxawIAACsFAAAOAAAAZHJzL2Uyb0RvYy54bWysVMtuGyEU3VfqPyD2zXj8ajrKOLISpapk&#10;JVGSKmvMgD0KcClgj92v74V5JE2tLqpuEHDPfR3O5eLyoBXZC+drMCXNz0aUCMOhqs2mpN+fbj6d&#10;U+IDMxVTYERJj8LTy8XHDxeNLcQYtqAq4QgGMb5obEm3IdgiyzzfCs38GVhh0CjBaRbw6DZZ5ViD&#10;0bXKxqPRPGvAVdYBF97j7XVrpIsUX0rBw52UXgSiSoq1hbS6tK7jmi0uWLFxzG5r3pXB/qEKzWqD&#10;SYdQ1ywwsnP1H6F0zR14kOGMg85AypqL1AN2k4/edfO4ZVakXpAcbwea/P8Ly2/3947UVUnnlBim&#10;8YkekDRmNkqQeaSnsb5A1KO9d7FBb1fAXzwast8s8eA7zEE6HbHYHjkkro8D1+IQCMfL2WQ0m45n&#10;lHC05ZP5ZDKdxXQZK3p363z4KkCTuCmpw7oSx2y/8qGF9pCYTZm+qLaOVFE4KtEaH4TEPjHzOAVJ&#10;ChNXypE9Q21UL3mXXRlERhdZKzU45aecVOidOmx0E0l1g+PolONrtgGdMoIJg6OuDbi/O8sW3z2F&#10;b3uNba+hOuKzOmj17i2/qZHDFfPhnjkUOI4CDm24w0UqaEoK3Y6SLbifp+4jHnWHVkoaHJiS+h87&#10;5gQl6ptBRX7Jp9M4YekwnX0e48G9tazfWsxOXwHynuP3YHnaRnxQ/VY60M8428uYFU3McMxdUh5c&#10;f7gK7SDj78DFcplgOFWWhZV5tDwGj6xGjTwdnpmznZACavAW+uFixTs9tdjoaWC5CyDrJLZXXju+&#10;cSKTXLvfI47823NCvf5xi18AAAD//wMAUEsDBBQABgAIAAAAIQCa+KDp4AAAAAsBAAAPAAAAZHJz&#10;L2Rvd25yZXYueG1sTI9NT4NAEIbvJv6HzZh4axcQsEWWxo9489Ji7HULUyBlZwm7pdRf73jS20zm&#10;yTvPm29m04sJR9dZUhAuAxBIla07ahR8lu+LFQjnNdW6t4QKruhgU9ze5Dqr7YW2OO18IziEXKYV&#10;tN4PmZSuatFot7QDEt+OdjTa8zo2sh71hcNNL6MgSKXRHfGHVg/42mJ12p2Ngq84+DDJ3r+c3vbr&#10;+BpO5XczlErd383PTyA8zv4Phl99VoeCnQ72TLUTvYJF/JAwykMSpSCYeFxH3O7AaBqFIItc/u9Q&#10;/AAAAP//AwBQSwECLQAUAAYACAAAACEAtoM4kv4AAADhAQAAEwAAAAAAAAAAAAAAAAAAAAAAW0Nv&#10;bnRlbnRfVHlwZXNdLnhtbFBLAQItABQABgAIAAAAIQA4/SH/1gAAAJQBAAALAAAAAAAAAAAAAAAA&#10;AC8BAABfcmVscy8ucmVsc1BLAQItABQABgAIAAAAIQDwxhzxawIAACsFAAAOAAAAAAAAAAAAAAAA&#10;AC4CAABkcnMvZTJvRG9jLnhtbFBLAQItABQABgAIAAAAIQCa+KDp4AAAAAsBAAAPAAAAAAAAAAAA&#10;AAAAAMUEAABkcnMvZG93bnJldi54bWxQSwUGAAAAAAQABADzAAAA0gUAAAAA&#10;" fillcolor="white [3201]" strokecolor="black [3200]" strokeweight="2.25pt">
                <v:path arrowok="t"/>
              </v:rect>
            </w:pict>
          </mc:Fallback>
        </mc:AlternateContent>
      </w:r>
      <w:r w:rsidR="00AF37D4">
        <w:rPr>
          <w:noProof/>
          <w:lang w:eastAsia="en-US"/>
        </w:rPr>
        <mc:AlternateContent>
          <mc:Choice Requires="wps">
            <w:drawing>
              <wp:anchor distT="0" distB="0" distL="114299" distR="114299" simplePos="0" relativeHeight="251673600" behindDoc="0" locked="0" layoutInCell="1" allowOverlap="1" wp14:anchorId="0ADBA2E0" wp14:editId="27041FE7">
                <wp:simplePos x="0" y="0"/>
                <wp:positionH relativeFrom="column">
                  <wp:posOffset>-371476</wp:posOffset>
                </wp:positionH>
                <wp:positionV relativeFrom="paragraph">
                  <wp:posOffset>-295275</wp:posOffset>
                </wp:positionV>
                <wp:extent cx="0" cy="1447800"/>
                <wp:effectExtent l="19050" t="0" r="1905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4780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23.25pt" to="-29.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A62AEAAPwDAAAOAAAAZHJzL2Uyb0RvYy54bWysU8uO2zAMvBfoPwi6N3aCfQRGnD1k0V4W&#10;bdB0e9fKVCxUL1Bq7Px9KTnr7QsFWvQiWCRnOBzRm7vRGnYCjNq7li8XNWfgpO+0O7b88dPbN2vO&#10;YhKuE8Y7aPkZIr/bvn61GUIDK9970wEyInGxGULL+5RCU1VR9mBFXPgAjpLKoxWJrnisOhQDsVtT&#10;rer6pho8dgG9hBgpej8l+bbwKwUyfVAqQmKm5aQtlRPL+ZTParsRzRFF6LW8yBD/oMIK7ajpTHUv&#10;kmBfUf9CZbVEH71KC+lt5ZXSEsoMNM2y/mmaQy8ClFnInBhmm+L/o5XvT3tkumv5iuxxwtIbHRIK&#10;fewT23nnyEGPjJLk1BBiQ4Cd22OeVY7uEB68/BIpV/2QzJcYprJRoWXK6PCZFqSYRGOzsbzBeX4D&#10;GBOTU1BSdHl1dbuuS9dKNJkidwwY0zvwluWPlhvtsj2iEaeHmLKIl5IcNo4NNNj6+vY6yy8SJ1VF&#10;XzobmMo+giIPqPukr2wf7Ayyk6C9EVKCSzeFIpNSdYYpbcwMrIuOPwIv9RkKZTP/BjwjSmfv0gy2&#10;2nn8Xfc0Li+S1VT/7MA0d7bgyXfnPT5bQytWLLz8DnmHv78X+MtPu/0GAAD//wMAUEsDBBQABgAI&#10;AAAAIQB1KekR3wAAAAsBAAAPAAAAZHJzL2Rvd25yZXYueG1sTI/NS8NAEMXvgv/DMoK3dlMxJcZs&#10;ivgB0oNgVai3aXaaBPcj7G7T6F/viAe9vZn3482bajVZI0YKsfdOwWKegSDXeN27VsHry8OsABET&#10;Oo3GO1LwSRFW9elJhaX2R/dM4ya1gkNcLFFBl9JQShmbjizGuR/Isbf3wWLiMbRSBzxyuDXyIsuW&#10;0mLv+EKHA9121HxsDlZBuMe1Gd+2T+v3fmuucvzaPw53Sp2fTTfXIBJN6Q+Gn/pcHWrutPMHp6Mw&#10;CmZ5kTPK4nLJgonfzY7RYpGDrCv5/4f6GwAA//8DAFBLAQItABQABgAIAAAAIQC2gziS/gAAAOEB&#10;AAATAAAAAAAAAAAAAAAAAAAAAABbQ29udGVudF9UeXBlc10ueG1sUEsBAi0AFAAGAAgAAAAhADj9&#10;If/WAAAAlAEAAAsAAAAAAAAAAAAAAAAALwEAAF9yZWxzLy5yZWxzUEsBAi0AFAAGAAgAAAAhAKuc&#10;oDrYAQAA/AMAAA4AAAAAAAAAAAAAAAAALgIAAGRycy9lMm9Eb2MueG1sUEsBAi0AFAAGAAgAAAAh&#10;AHUp6RHfAAAACwEAAA8AAAAAAAAAAAAAAAAAMgQAAGRycy9kb3ducmV2LnhtbFBLBQYAAAAABAAE&#10;APMAAAA+BQAAAAA=&#10;" strokecolor="#f68c36 [3049]" strokeweight="2.25pt">
                <o:lock v:ext="edit" shapetype="f"/>
              </v:line>
            </w:pict>
          </mc:Fallback>
        </mc:AlternateContent>
      </w:r>
      <w:r w:rsidR="00AF37D4">
        <w:rPr>
          <w:noProof/>
          <w:lang w:eastAsia="en-US"/>
        </w:rPr>
        <mc:AlternateContent>
          <mc:Choice Requires="wps">
            <w:drawing>
              <wp:anchor distT="0" distB="0" distL="114300" distR="114300" simplePos="0" relativeHeight="251666432" behindDoc="0" locked="0" layoutInCell="1" allowOverlap="1" wp14:anchorId="6448A10E" wp14:editId="51578282">
                <wp:simplePos x="0" y="0"/>
                <wp:positionH relativeFrom="column">
                  <wp:posOffset>-76200</wp:posOffset>
                </wp:positionH>
                <wp:positionV relativeFrom="paragraph">
                  <wp:posOffset>-228600</wp:posOffset>
                </wp:positionV>
                <wp:extent cx="51054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59278" w14:textId="77777777" w:rsidR="00CC017A" w:rsidRPr="001F72AD" w:rsidRDefault="00CC017A">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pt;margin-top:-18pt;width:402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99jAIAAJoFAAAOAAAAZHJzL2Uyb0RvYy54bWysVFFP2zAQfp+0/2D5fSRlFKaoKepATJMq&#10;QIOJZ9exqYXt82y3Sffrd3aSFhgvTHtxLr7v7nx3393svDOabIUPCmxNJ0clJcJyaJR9rOnP+6tP&#10;XygJkdmGabCipjsR6Pn844dZ6ypxDGvQjfAEndhQta6m6xhdVRSBr4Vh4QicsKiU4A2L+Osfi8az&#10;Fr0bXRyX5WnRgm+cBy5CwNvLXknn2b+UgscbKYOIRNcU3xbz6fO5Smcxn7Hq0TO3Vnx4BvuHVxim&#10;LAbdu7pkkZGNV3+5Mop7CCDjEQdTgJSKi5wDZjMpX2Vzt2ZO5FywOMHtyxT+n1t+vb31RDU1nVJi&#10;mcEW3Ysukq/QkWmqTutChaA7h7DY4TV2OWca3BL4U0BI8QzTGwREp2p00pv0xTwJGmIDdvuipygc&#10;L6eTcnpSooqj7uTk7PQsxy0O1s6H+E2AIUmoqcem5hew7TLEFJ9VIyQFC6BVc6W0zj+JSOJCe7Jl&#10;SAEdJykptHiB0pa0NT39PC2zYwvJvMdpm9yITKUhXEq3zzBLcadFwmj7Q0gsZU70jdiMc2H38TM6&#10;oSSGeo/hgD+86j3GfR5okSODjXtjoyz4vrEvS9Y8jSWTPX5oeOjzTiWI3arLHMrIdLOCZoeE8dAP&#10;XHD8SmHzlizEW+ZxwrDfuDXiDR5SAxYfBomSNfjfb90nPBIftZS0OLE1Db82zAtK9HeLI5HGexT8&#10;KKxGwW7MBSADJriPHM8iGvioR1F6MA+4TBYpCqqY5RirpnEUL2K/N3AZcbFYZBAOsWNxae8cH+ci&#10;UfG+e2DeDXyNyPRrGGeZVa9o22NTPywsNhGkypw+VHGoNy6ATNxhWaUN8/w/ow4rdf4HAAD//wMA&#10;UEsDBBQABgAIAAAAIQDfoObb4AAAAAoBAAAPAAAAZHJzL2Rvd25yZXYueG1sTI9BT8MwDIXvSPyH&#10;yEjctrQbjLU0ncYQ4jBA2mASx6wxbUXiVE22lX+Pd4Lbs/30/L1iMTgrjtiH1pOCdJyAQKq8aalW&#10;8PH+NJqDCFGT0dYTKvjBAIvy8qLQufEn2uBxG2vBIRRyraCJsculDFWDToex75D49uV7pyOPfS1N&#10;r08c7qycJMlMOt0Sf2h0h6sGq+/twSl4s+lu97KKzw8ag8tel+bxc50pdX01LO9BRBzinxnO+IwO&#10;JTPt/YFMEFbBKJ1wl8hiOmPBjrvsvNkrmN7cgiwL+b9C+QsAAP//AwBQSwECLQAUAAYACAAAACEA&#10;toM4kv4AAADhAQAAEwAAAAAAAAAAAAAAAAAAAAAAW0NvbnRlbnRfVHlwZXNdLnhtbFBLAQItABQA&#10;BgAIAAAAIQA4/SH/1gAAAJQBAAALAAAAAAAAAAAAAAAAAC8BAABfcmVscy8ucmVsc1BLAQItABQA&#10;BgAIAAAAIQD2eb99jAIAAJoFAAAOAAAAAAAAAAAAAAAAAC4CAABkcnMvZTJvRG9jLnhtbFBLAQIt&#10;ABQABgAIAAAAIQDfoObb4AAAAAoBAAAPAAAAAAAAAAAAAAAAAOYEAABkcnMvZG93bnJldi54bWxQ&#10;SwUGAAAAAAQABADzAAAA8wUAAAAA&#10;" fillcolor="white [3201]" stroked="f" strokeweight=".5pt">
                <v:path arrowok="t"/>
                <v:textbox inset="0,0,0,0">
                  <w:txbxContent>
                    <w:p w:rsidR="007242C2" w:rsidRPr="001F72AD" w:rsidRDefault="007242C2">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v:textbox>
              </v:shape>
            </w:pict>
          </mc:Fallback>
        </mc:AlternateContent>
      </w:r>
      <w:r w:rsidR="00AF37D4">
        <w:rPr>
          <w:noProof/>
          <w:lang w:eastAsia="en-US"/>
        </w:rPr>
        <mc:AlternateContent>
          <mc:Choice Requires="wps">
            <w:drawing>
              <wp:anchor distT="4294967295" distB="4294967295" distL="114300" distR="114300" simplePos="0" relativeHeight="251674624" behindDoc="0" locked="0" layoutInCell="1" allowOverlap="1" wp14:anchorId="253688B3" wp14:editId="3826FBD7">
                <wp:simplePos x="0" y="0"/>
                <wp:positionH relativeFrom="column">
                  <wp:posOffset>4895850</wp:posOffset>
                </wp:positionH>
                <wp:positionV relativeFrom="paragraph">
                  <wp:posOffset>-485776</wp:posOffset>
                </wp:positionV>
                <wp:extent cx="18859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gA0AEAAPIDAAAOAAAAZHJzL2Uyb0RvYy54bWysU02P0zAQvSPxHyzfadJKu+pGTffQFVxW&#10;UFH4AV5n3Fj4S2PTpP+esdOGXUBCrLhYsWfem3lvJpv70Rp2Aozau5YvFzVn4KTvtDu2/OuX9+/W&#10;nMUkXCeMd9DyM0R+v337ZjOEBla+96YDZETiYjOElvcphaaqouzBirjwARwFlUcrEl3xWHUoBmK3&#10;plrV9W01eOwCegkx0uvDFOTbwq8UyPRJqQiJmZZTb6mcWM6nfFbbjWiOKEKv5aUN8YourNCOis5U&#10;DyIJ9h31b1RWS/TRq7SQ3lZeKS2haCA1y/oXNYdeBChayJwYZpvi/6OVH097ZLpr+WrJmROWZnRI&#10;KPSxT2znnSMHPTIKklNDiA0Bdm6PWasc3SE8evktUqx6EcyXGKa0UaHN6SSWjcX58+w8jIlJelyu&#10;1zd3NzQgeY1VorkCA8b0Abxl+aPlRrtsimjE6TGmXFo015T8bBwbiPGuJr5rY1Mvpat0NjClfQZF&#10;ynP1Qld2DnYG2UnQtggpwaXbQpFJKTvDlDZmBtZ/B17yMxTKPv4LeEaUyt6lGWy18/in6mksoyJP&#10;1JR/GU2cdGcLnnx33uPVGlqsYuHlJ8ib+/xe4D9/1e0PAAAA//8DAFBLAwQUAAYACAAAACEAddEX&#10;At4AAAAMAQAADwAAAGRycy9kb3ducmV2LnhtbEyPQUvDQBCF74L/YRnBW7uJaFJiNkUs3sTaVsXj&#10;NDsmi9nZkN2m8d93C4Ie583jve+Vy8l2YqTBG8cK0nkCgrh22nCj4G33NFuA8AFZY+eYFPyQh2V1&#10;eVFiod2RNzRuQyNiCPsCFbQh9IWUvm7Jop+7njj+vtxgMcRzaKQe8BjDbSdvkiSTFg3HhhZ7emyp&#10;/t4erIJPE8JuY25zen3G1Yv+GN9X6Vqp66vp4R5EoCn8meGMH9Ghikx7d2DtRacgz9O4JSiY5dkd&#10;iLMjyRZR2v9Ksirl/xHVCQAA//8DAFBLAQItABQABgAIAAAAIQC2gziS/gAAAOEBAAATAAAAAAAA&#10;AAAAAAAAAAAAAABbQ29udGVudF9UeXBlc10ueG1sUEsBAi0AFAAGAAgAAAAhADj9If/WAAAAlAEA&#10;AAsAAAAAAAAAAAAAAAAALwEAAF9yZWxzLy5yZWxzUEsBAi0AFAAGAAgAAAAhAGrr2ADQAQAA8gMA&#10;AA4AAAAAAAAAAAAAAAAALgIAAGRycy9lMm9Eb2MueG1sUEsBAi0AFAAGAAgAAAAhAHXRFwLeAAAA&#10;DAEAAA8AAAAAAAAAAAAAAAAAKgQAAGRycy9kb3ducmV2LnhtbFBLBQYAAAAABAAEAPMAAAA1BQAA&#10;AAA=&#10;" strokecolor="#f68c36 [3049]" strokeweight="1.5pt">
                <o:lock v:ext="edit" shapetype="f"/>
              </v:line>
            </w:pict>
          </mc:Fallback>
        </mc:AlternateContent>
      </w:r>
      <w:r w:rsidR="00AF37D4">
        <w:rPr>
          <w:noProof/>
          <w:lang w:eastAsia="en-US"/>
        </w:rPr>
        <mc:AlternateContent>
          <mc:Choice Requires="wps">
            <w:drawing>
              <wp:anchor distT="0" distB="0" distL="114300" distR="114300" simplePos="0" relativeHeight="251659264" behindDoc="0" locked="0" layoutInCell="1" allowOverlap="1" wp14:anchorId="4A984584" wp14:editId="4EAFADB2">
                <wp:simplePos x="0" y="0"/>
                <wp:positionH relativeFrom="column">
                  <wp:posOffset>-381000</wp:posOffset>
                </wp:positionH>
                <wp:positionV relativeFrom="paragraph">
                  <wp:posOffset>-334010</wp:posOffset>
                </wp:positionV>
                <wp:extent cx="5410200" cy="15716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571625"/>
                        </a:xfrm>
                        <a:prstGeom prst="rect">
                          <a:avLst/>
                        </a:prstGeom>
                        <a:solidFill>
                          <a:schemeClr val="bg1"/>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pt;margin-top:-26.3pt;width:426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MXiAIAAHcFAAAOAAAAZHJzL2Uyb0RvYy54bWysVEtvGyEQvlfqf0Dc6/VadtKuso6sRK4q&#10;WUmUpMoZs2CjsAwF7LX76zuwjzipT1UviGG+efLNXF0fak32wnkFpqT5aEyJMBwqZTYl/fm8/PKV&#10;Eh+YqZgGI0p6FJ5ezz9/umpsISawBV0JR9CJ8UVjS7oNwRZZ5vlW1MyPwAqDSgmuZgFFt8kqxxr0&#10;XutsMh5fZA24yjrgwnt8vW2VdJ78Syl4uJfSi0B0STG3kE6XznU8s/kVKzaO2a3iXRrsH7KomTIY&#10;dHB1ywIjO6f+clUr7sCDDCMOdQZSKi5SDVhNPv5QzdOWWZFqweZ4O7TJ/z+3/G7/4IiqSjqlxLAa&#10;v+gRm8bMRgsyje1prC8Q9WQfXCzQ2xXwV4+K7J0mCr7DHKSrIxbLI4fU6+PQa3EIhOPjbJqP8QMp&#10;4ajLZ5f5xWQWw2Ws6M2t8+G7gJrES0kd5pV6zPYrH1poD0mZgVbVUmmdhEggcaMd2TP8+vUm75z7&#10;U5Q2EWsgWrUO40sqrK0lVRWOWkScNo9CYq8w+0lKJLH0LQjjXJgw6QIldDST6HwwzM8Z6tBn12Gj&#10;mUjsHQzH5wzfRxwsUlQwYTCulQF3zkH1OkRu8X31bc2x/DVUR6SIg3Z2vOVLhf+xYj48MIfDgn+I&#10;CyDc4yE1NCWF7kbJFtzvc+8RjxxGLSUNDl9J/a8dc4IS/cMgu7/l02mc1iRMZ5cTFNypZn2qMbv6&#10;BvCTc1w1lqdrxAfdX6WD+gX3xCJGRRUzHGOXlAfXCzehXQq4abhYLBIMJ9SysDJPlkfnsauRb8+H&#10;F+ZsR8qAfL6DflBZ8YGbLTZaGljsAkiViPvW167fON2J+t0miuvjVE6ot305/wMAAP//AwBQSwME&#10;FAAGAAgAAAAhAKh6KO7fAAAACwEAAA8AAABkcnMvZG93bnJldi54bWxMj0FPhDAQhe8m/odmTLzt&#10;thAFQcrGmOzRRHc367XQCsR2SmhZ2H/veNLbzLyXN9+rdquz7GKmMHiUkGwFMIOt1wN2Ek7H/eYJ&#10;WIgKtbIejYSrCbCrb28qVWq/4Ie5HGLHKARDqST0MY4l56HtjVNh60eDpH35yalI69RxPamFwp3l&#10;qRAZd2pA+tCr0bz2pv0+zE7C+ZQf9+17szRJ/pm42Ra9uL5JeX+3vjwDi2aNf2b4xSd0qImp8TPq&#10;wKyETSaoS6ThMc2AkSMvUro0ZC0eCuB1xf93qH8AAAD//wMAUEsBAi0AFAAGAAgAAAAhALaDOJL+&#10;AAAA4QEAABMAAAAAAAAAAAAAAAAAAAAAAFtDb250ZW50X1R5cGVzXS54bWxQSwECLQAUAAYACAAA&#10;ACEAOP0h/9YAAACUAQAACwAAAAAAAAAAAAAAAAAvAQAAX3JlbHMvLnJlbHNQSwECLQAUAAYACAAA&#10;ACEACJuTF4gCAAB3BQAADgAAAAAAAAAAAAAAAAAuAgAAZHJzL2Uyb0RvYy54bWxQSwECLQAUAAYA&#10;CAAAACEAqHoo7t8AAAALAQAADwAAAAAAAAAAAAAAAADiBAAAZHJzL2Rvd25yZXYueG1sUEsFBgAA&#10;AAAEAAQA8wAAAO4FAAAAAA==&#10;" fillcolor="white [3212]" stroked="f" strokeweight="2.25pt">
                <v:path arrowok="t"/>
              </v:rect>
            </w:pict>
          </mc:Fallback>
        </mc:AlternateContent>
      </w:r>
      <w:r w:rsidR="00AF37D4">
        <w:rPr>
          <w:noProof/>
          <w:lang w:eastAsia="en-US"/>
        </w:rPr>
        <mc:AlternateContent>
          <mc:Choice Requires="wps">
            <w:drawing>
              <wp:anchor distT="0" distB="0" distL="114299" distR="114299" simplePos="0" relativeHeight="251675648" behindDoc="0" locked="0" layoutInCell="1" allowOverlap="1" wp14:anchorId="44A77036" wp14:editId="6688ACB2">
                <wp:simplePos x="0" y="0"/>
                <wp:positionH relativeFrom="column">
                  <wp:posOffset>6781799</wp:posOffset>
                </wp:positionH>
                <wp:positionV relativeFrom="paragraph">
                  <wp:posOffset>-495300</wp:posOffset>
                </wp:positionV>
                <wp:extent cx="0" cy="1019175"/>
                <wp:effectExtent l="0" t="0" r="1905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91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m70AEAAPIDAAAOAAAAZHJzL2Uyb0RvYy54bWysU02P0zAQvSPxHyzfaZJKu7BR0z10BZcV&#10;VJT9AV7HbixsjzU2TfrvGTtp+ZQQiIsVz7w38+Z5srmfnGUnhdGA73izqjlTXkJv/LHjT5/evnrD&#10;WUzC98KCVx0/q8jvty9fbMbQqjUMYHuFjIr42I6h40NKoa2qKAflRFxBUJ6SGtCJRFc8Vj2Kkao7&#10;W63r+rYaAfuAIFWMFH2Yk3xb6mutZPqgdVSJ2Y6TtlROLOdzPqvtRrRHFGEwcpEh/kGFE8ZT02up&#10;B5EE+4Lml1LOSIQIOq0kuAq0NlKVGWiapv5pmsMggiqzkDkxXG2K/6+sfH/aIzN9x9drzrxw9EaH&#10;hMIch8R24D05CMgoSU6NIbZE2Pk95lnl5A/hEeTnSLnqh2S+xDDDJo0uw2lYNhXnz1fn1ZSYnIOS&#10;ok3d3DWvb3KvSrQXYsCY3ilwLH903BqfTRGtOD3GNEMvkBy2no1U6q6+Kc9bhM1aiqp0tmqGfVSa&#10;JqfuTSlXdk7tLLKToG0RUiqfbhct1hM607Sx9kqs/0xc8Jmqyj7+DfnKKJ3BpyvZGQ/4u+5pahbJ&#10;esYvTxPnubMFz9Cf93h5M1qs4vbyE+TN/f5e6N9+1e1XAAAA//8DAFBLAwQUAAYACAAAACEAOSpF&#10;zt4AAAAMAQAADwAAAGRycy9kb3ducmV2LnhtbEyPQU/DMAyF70j8h8hI3LZ0E2xVaTohJm4I2AbT&#10;jl5j2ogmqRqvK/+eVDvAzc9+ev5evhpsI3rqgvFOwWyagCBXem1cpeBj9zxJQQRGp7HxjhT8UIBV&#10;cX2VY6b92W2o33IlYogLGSqomdtMylDWZDFMfUsu3r58Z5Gj7CqpOzzHcNvIeZIspEXj4ocaW3qq&#10;qfzenqyCg2Hebczdkt5fcP2q9/3nevam1O3N8PgAgmngPzOM+BEdish09Ceng2iiThZpLMMKJstx&#10;GC2X1VFBOr8HWeTyf4niFwAA//8DAFBLAQItABQABgAIAAAAIQC2gziS/gAAAOEBAAATAAAAAAAA&#10;AAAAAAAAAAAAAABbQ29udGVudF9UeXBlc10ueG1sUEsBAi0AFAAGAAgAAAAhADj9If/WAAAAlAEA&#10;AAsAAAAAAAAAAAAAAAAALwEAAF9yZWxzLy5yZWxzUEsBAi0AFAAGAAgAAAAhAMeCabvQAQAA8gMA&#10;AA4AAAAAAAAAAAAAAAAALgIAAGRycy9lMm9Eb2MueG1sUEsBAi0AFAAGAAgAAAAhADkqRc7eAAAA&#10;DAEAAA8AAAAAAAAAAAAAAAAAKgQAAGRycy9kb3ducmV2LnhtbFBLBQYAAAAABAAEAPMAAAA1BQAA&#10;AAA=&#10;" strokecolor="#f68c36 [3049]" strokeweight="1.5pt">
                <o:lock v:ext="edit" shapetype="f"/>
              </v:line>
            </w:pict>
          </mc:Fallback>
        </mc:AlternateContent>
      </w:r>
      <w:r w:rsidR="00F92CE2">
        <w:rPr>
          <w:noProof/>
          <w:lang w:eastAsia="en-US"/>
        </w:rPr>
        <w:drawing>
          <wp:anchor distT="0" distB="0" distL="114300" distR="114300" simplePos="0" relativeHeight="251671552" behindDoc="0" locked="0" layoutInCell="1" allowOverlap="1" wp14:anchorId="245603C7" wp14:editId="12DBBE57">
            <wp:simplePos x="0" y="0"/>
            <wp:positionH relativeFrom="column">
              <wp:posOffset>4895850</wp:posOffset>
            </wp:positionH>
            <wp:positionV relativeFrom="paragraph">
              <wp:posOffset>-345440</wp:posOffset>
            </wp:positionV>
            <wp:extent cx="1737995" cy="868680"/>
            <wp:effectExtent l="76200" t="76200" r="128905" b="140970"/>
            <wp:wrapNone/>
            <wp:docPr id="8" name="Picture 8" descr="C:\Users\badavis\AppData\Local\Microsoft\Windows\Temporary Internet Files\Content.Outlook\OQCWI6XM\SPRILogo 2004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868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3DC2A65" w14:textId="77777777" w:rsidR="006A49E8" w:rsidRDefault="00AF37D4" w:rsidP="00377C03">
      <w:pPr>
        <w:pStyle w:val="CompanyName"/>
        <w:numPr>
          <w:ilvl w:val="0"/>
          <w:numId w:val="2"/>
        </w:numPr>
        <w:tabs>
          <w:tab w:val="left" w:pos="8205"/>
        </w:tabs>
      </w:pPr>
      <w:r>
        <w:rPr>
          <w:lang w:eastAsia="en-US"/>
        </w:rPr>
        <mc:AlternateContent>
          <mc:Choice Requires="wps">
            <w:drawing>
              <wp:anchor distT="4294967295" distB="4294967295" distL="114300" distR="114300" simplePos="0" relativeHeight="251672576" behindDoc="0" locked="0" layoutInCell="1" allowOverlap="1" wp14:anchorId="1321C94E" wp14:editId="12346392">
                <wp:simplePos x="0" y="0"/>
                <wp:positionH relativeFrom="column">
                  <wp:posOffset>-381000</wp:posOffset>
                </wp:positionH>
                <wp:positionV relativeFrom="paragraph">
                  <wp:posOffset>874394</wp:posOffset>
                </wp:positionV>
                <wp:extent cx="6886575" cy="0"/>
                <wp:effectExtent l="0" t="1905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657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pt,68.85pt" to="512.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MZzwEAAPIDAAAOAAAAZHJzL2Uyb0RvYy54bWysU02P2yAQvVfqf0DcGzuRNk2tOHvIqr2s&#10;2qjp/oBZDDEqMAho7Pz7DjhxP6WqVS8ImHlv5j2G7f1oDTvLEDW6li8XNWfSCey0O7X86dPbVxvO&#10;YgLXgUEnW36Rkd/vXr7YDr6RK+zRdDIwInGxGXzL+5R8U1VR9NJCXKCXjoIKg4VEx3CqugADsVtT&#10;rep6XQ0YOh9QyBjp9mEK8l3hV0qK9EGpKBMzLafeUllDWZ/zWu220JwC+F6LaxvwD11Y0I6KzlQP&#10;kIB9CfoXKqtFwIgqLQTaCpXSQhYNpGZZ/6Tm2IOXRQuZE/1sU/x/tOL9+RCY7ujt3nDmwNIbHVMA&#10;feoT26Nz5CAGRkFyavCxIcDeHULWKkZ39I8oPkeKVT8E8yH6KW1UweZ0EsvG4vxldl6OiQm6XG82&#10;67vXd5yJW6yC5gb0IaZ3Ei3Lm5Yb7bIp0MD5MaZcGppbSr42jg0tX20y362xqZfSVboYOaV9lIqU&#10;U/VloSszJ/cmsDPQtIAQ0qV1ociklJ1hShszA+s/A6/5GSrLPP4NeEaUyujSDLbaYfhd9TQury2r&#10;Kf/6NHHSnS14xu5yCDdraLCKhddPkCf3+3OBf/uqu68AAAD//wMAUEsDBBQABgAIAAAAIQCBq/rF&#10;3wAAAAwBAAAPAAAAZHJzL2Rvd25yZXYueG1sTI/NTsMwEITvSLyDtUjcWjsF2ijEqVAlkLjw03Lh&#10;tomXJCJeB9ttw9vjSkhw3JnR7DflerKDOJAPvWMN2VyBIG6c6bnV8La7n+UgQkQ2ODgmDd8UYF2d&#10;n5VYGHfkVzpsYytSCYcCNXQxjoWUoenIYpi7kTh5H85bjOn0rTQej6ncDnKh1FJa7Dl96HCkTUfN&#10;53ZvNaDPcnxu84c67N7pq3/MNk8vmdaXF9PdLYhIU/wLwwk/oUOVmGq3ZxPEoGG2VGlLTMbVagXi&#10;lFCL6xsQ9a8kq1L+H1H9AAAA//8DAFBLAQItABQABgAIAAAAIQC2gziS/gAAAOEBAAATAAAAAAAA&#10;AAAAAAAAAAAAAABbQ29udGVudF9UeXBlc10ueG1sUEsBAi0AFAAGAAgAAAAhADj9If/WAAAAlAEA&#10;AAsAAAAAAAAAAAAAAAAALwEAAF9yZWxzLy5yZWxzUEsBAi0AFAAGAAgAAAAhAFURgxnPAQAA8gMA&#10;AA4AAAAAAAAAAAAAAAAALgIAAGRycy9lMm9Eb2MueG1sUEsBAi0AFAAGAAgAAAAhAIGr+sXfAAAA&#10;DAEAAA8AAAAAAAAAAAAAAAAAKQQAAGRycy9kb3ducmV2LnhtbFBLBQYAAAAABAAEAPMAAAA1BQAA&#10;AAA=&#10;" strokecolor="#f68c36 [3049]" strokeweight="2.25pt">
                <o:lock v:ext="edit" shapetype="f"/>
              </v:line>
            </w:pict>
          </mc:Fallback>
        </mc:AlternateContent>
      </w:r>
      <w:r>
        <w:rPr>
          <w:lang w:eastAsia="en-US"/>
        </w:rPr>
        <mc:AlternateContent>
          <mc:Choice Requires="wps">
            <w:drawing>
              <wp:anchor distT="0" distB="0" distL="114300" distR="114300" simplePos="0" relativeHeight="251665408" behindDoc="0" locked="0" layoutInCell="1" allowOverlap="1" wp14:anchorId="7EDC8E49" wp14:editId="6E4B73D6">
                <wp:simplePos x="0" y="0"/>
                <wp:positionH relativeFrom="column">
                  <wp:posOffset>5114925</wp:posOffset>
                </wp:positionH>
                <wp:positionV relativeFrom="paragraph">
                  <wp:posOffset>274320</wp:posOffset>
                </wp:positionV>
                <wp:extent cx="1343025" cy="476885"/>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93FA5" w14:textId="77777777" w:rsidR="0058347B" w:rsidRDefault="00CC017A" w:rsidP="00272358">
                            <w:pPr>
                              <w:tabs>
                                <w:tab w:val="left" w:pos="720"/>
                              </w:tabs>
                              <w:spacing w:after="120"/>
                              <w:rPr>
                                <w:ins w:id="0" w:author="Mike Ennis" w:date="2023-07-05T08:22:00Z"/>
                                <w:b/>
                                <w:sz w:val="20"/>
                                <w:szCs w:val="20"/>
                              </w:rPr>
                            </w:pPr>
                            <w:r w:rsidRPr="00D226A0">
                              <w:rPr>
                                <w:b/>
                                <w:sz w:val="20"/>
                                <w:szCs w:val="20"/>
                              </w:rPr>
                              <w:t>D</w:t>
                            </w:r>
                            <w:r>
                              <w:rPr>
                                <w:b/>
                                <w:sz w:val="20"/>
                                <w:szCs w:val="20"/>
                              </w:rPr>
                              <w:t>ate:</w:t>
                            </w:r>
                            <w:r>
                              <w:rPr>
                                <w:b/>
                                <w:sz w:val="20"/>
                                <w:szCs w:val="20"/>
                              </w:rPr>
                              <w:tab/>
                              <w:t>01/17/15</w:t>
                            </w:r>
                          </w:p>
                          <w:p w14:paraId="62F59D46" w14:textId="02F1132C" w:rsidR="00CC017A" w:rsidRDefault="0058347B" w:rsidP="00272358">
                            <w:pPr>
                              <w:tabs>
                                <w:tab w:val="left" w:pos="720"/>
                              </w:tabs>
                              <w:spacing w:after="120"/>
                              <w:rPr>
                                <w:b/>
                                <w:sz w:val="20"/>
                                <w:szCs w:val="20"/>
                              </w:rPr>
                            </w:pPr>
                            <w:bookmarkStart w:id="1" w:name="_GoBack"/>
                            <w:bookmarkEnd w:id="1"/>
                            <w:ins w:id="2" w:author="Mike Ennis" w:date="2023-07-05T08:22:00Z">
                              <w:r>
                                <w:rPr>
                                  <w:b/>
                                  <w:sz w:val="20"/>
                                  <w:szCs w:val="20"/>
                                </w:rPr>
                                <w:t>07/05/23</w:t>
                              </w:r>
                            </w:ins>
                          </w:p>
                          <w:p w14:paraId="039F7E65" w14:textId="77777777" w:rsidR="00CC017A" w:rsidRPr="00D226A0" w:rsidRDefault="00CC017A" w:rsidP="007C2BF0">
                            <w:pPr>
                              <w:tabs>
                                <w:tab w:val="left" w:pos="720"/>
                              </w:tabs>
                              <w:rPr>
                                <w:b/>
                                <w:sz w:val="20"/>
                                <w:szCs w:val="20"/>
                              </w:rPr>
                            </w:pPr>
                            <w:r>
                              <w:rPr>
                                <w:b/>
                                <w:sz w:val="20"/>
                                <w:szCs w:val="20"/>
                              </w:rPr>
                              <w:t>No:</w:t>
                            </w:r>
                            <w:r>
                              <w:rPr>
                                <w:b/>
                                <w:sz w:val="20"/>
                                <w:szCs w:val="20"/>
                              </w:rPr>
                              <w:tab/>
                              <w:t>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EDC8E49" id="_x0000_t202" coordsize="21600,21600" o:spt="202" path="m,l,21600r21600,l21600,xe">
                <v:stroke joinstyle="miter"/>
                <v:path gradientshapeok="t" o:connecttype="rect"/>
              </v:shapetype>
              <v:shape id="Text Box 9" o:spid="_x0000_s1028" type="#_x0000_t202" style="position:absolute;left:0;text-align:left;margin-left:402.75pt;margin-top:21.6pt;width:105.75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rwXlgIAAKoFAAAOAAAAZHJzL2Uyb0RvYy54bWysVFFPGzEMfp+0/xDlfVxbWigVV9SBmCZV&#13;&#10;gAYTz2kuoSeSOEvS3nW/fk5yVwrjhWkvOef82Y7tzz6/aLUiW+F8Daakw6MBJcJwqGrzVNKfD9df&#13;&#10;ppT4wEzFFBhR0p3w9GL++dN5Y2diBGtQlXAEnRg/a2xJ1yHYWVF4vhaa+SOwwqBSgtMs4NU9FZVj&#13;&#10;DXrXqhgNBidFA66yDrjwHv9eZSWdJ/9SCh5upfQiEFVSfFtIp0vnKp7F/JzNnhyz65p3z2D/8ArN&#13;&#10;aoNB966uWGBk4+q/XOmaO/AgwxEHXYCUNRcpB8xmOHiTzf2aWZFyweJ4uy+T/39u+c32zpG6KukZ&#13;&#10;JYZpbNGDaAP5Ci05i9VprJ8h6N4iLLT4G7ucMvV2CfzZI6Q4wGQDj+hYjVY6Hb+YJ0FDbMBuX/QY&#13;&#10;hUdvx+PjwWhCCUfd+PRkOp3EuMWLtXU+fBOgSRRK6rCp6QVsu/QhQ3tIDOZB1dV1rVS6RCKJS+XI&#13;&#10;liEFVBh2zl+hlCFNSU+OJ4Pk2EA0z56ViW5EolIXLqabM0xS2CkRMcr8EBJLmRJ9JzbjXJh9/ISO&#13;&#10;KImhPmLY4V9e9RHjnAdapMhgwt5Y1wZcbuzrklXPfclkxncN9znvWILQrtrEoVHPmBVUOySMgzxw&#13;&#10;3vLrGpu3ZD7cMYcThlTArRFu8ZAKsPjQSZSswf1+73/EI/FRS0mDE1tS/2vDnKBEfTc4EmfD8TiO&#13;&#10;eLqMJ6cjvLhDzepQYzb6EpARQ9xPlicx4oPqRelAP+JyWcSoqGKGY+yShl68DHmP4HLiYrFIIBxq&#13;&#10;y8LS3Fvez0mk5kP7yJzt+BuQ+TfQzzabvaFxxsb+GFhsAsg6cTzWOVe1qz8uhDQl3fKKG+fwnlAv&#13;&#10;K3b+BwAA//8DAFBLAwQUAAYACAAAACEAIkxcn+YAAAAQAQAADwAAAGRycy9kb3ducmV2LnhtbEyP&#13;&#10;T0/DMAzF70h8h8hIXNCWdKWs6ppOiL8SN9YB4pY1pq1okqrJ2vLt8U5wsWz5+fn98u1sOjbi4Ftn&#13;&#10;JURLAQxt5XRrawn78nGRAvNBWa06Z1HCD3rYFudnucq0m+wrjrtQMzKxPlMSmhD6jHNfNWiUX7oe&#13;&#10;Le2+3GBUoHGouR7UROam4yshbrhRraUPjerxrsHqe3c0Ej6v6o8XPz+9TXES9w/PY7l+16WUlxfz&#13;&#10;/YbK7QZYwDn8XcCJgfJDQcEO7mi1Z52EVCQJSSVcxytgJ4GI1oR4oC5KY+BFzv+DFL8AAAD//wMA&#13;&#10;UEsBAi0AFAAGAAgAAAAhALaDOJL+AAAA4QEAABMAAAAAAAAAAAAAAAAAAAAAAFtDb250ZW50X1R5&#13;&#10;cGVzXS54bWxQSwECLQAUAAYACAAAACEAOP0h/9YAAACUAQAACwAAAAAAAAAAAAAAAAAvAQAAX3Jl&#13;&#10;bHMvLnJlbHNQSwECLQAUAAYACAAAACEAvUK8F5YCAACqBQAADgAAAAAAAAAAAAAAAAAuAgAAZHJz&#13;&#10;L2Uyb0RvYy54bWxQSwECLQAUAAYACAAAACEAIkxcn+YAAAAQAQAADwAAAAAAAAAAAAAAAADwBAAA&#13;&#10;ZHJzL2Rvd25yZXYueG1sUEsFBgAAAAAEAAQA8wAAAAMGAAAAAA==&#13;&#10;" fillcolor="white [3201]" stroked="f" strokeweight=".5pt">
                <v:textbox>
                  <w:txbxContent>
                    <w:p w14:paraId="75793FA5" w14:textId="77777777" w:rsidR="0058347B" w:rsidRDefault="00CC017A" w:rsidP="00272358">
                      <w:pPr>
                        <w:tabs>
                          <w:tab w:val="left" w:pos="720"/>
                        </w:tabs>
                        <w:spacing w:after="120"/>
                        <w:rPr>
                          <w:ins w:id="3" w:author="Mike Ennis" w:date="2023-07-05T08:22:00Z"/>
                          <w:b/>
                          <w:sz w:val="20"/>
                          <w:szCs w:val="20"/>
                        </w:rPr>
                      </w:pPr>
                      <w:r w:rsidRPr="00D226A0">
                        <w:rPr>
                          <w:b/>
                          <w:sz w:val="20"/>
                          <w:szCs w:val="20"/>
                        </w:rPr>
                        <w:t>D</w:t>
                      </w:r>
                      <w:r>
                        <w:rPr>
                          <w:b/>
                          <w:sz w:val="20"/>
                          <w:szCs w:val="20"/>
                        </w:rPr>
                        <w:t>ate:</w:t>
                      </w:r>
                      <w:r>
                        <w:rPr>
                          <w:b/>
                          <w:sz w:val="20"/>
                          <w:szCs w:val="20"/>
                        </w:rPr>
                        <w:tab/>
                        <w:t>01/17/15</w:t>
                      </w:r>
                    </w:p>
                    <w:p w14:paraId="62F59D46" w14:textId="02F1132C" w:rsidR="00CC017A" w:rsidRDefault="0058347B" w:rsidP="00272358">
                      <w:pPr>
                        <w:tabs>
                          <w:tab w:val="left" w:pos="720"/>
                        </w:tabs>
                        <w:spacing w:after="120"/>
                        <w:rPr>
                          <w:b/>
                          <w:sz w:val="20"/>
                          <w:szCs w:val="20"/>
                        </w:rPr>
                      </w:pPr>
                      <w:bookmarkStart w:id="4" w:name="_GoBack"/>
                      <w:bookmarkEnd w:id="4"/>
                      <w:ins w:id="5" w:author="Mike Ennis" w:date="2023-07-05T08:22:00Z">
                        <w:r>
                          <w:rPr>
                            <w:b/>
                            <w:sz w:val="20"/>
                            <w:szCs w:val="20"/>
                          </w:rPr>
                          <w:t>07/05/23</w:t>
                        </w:r>
                      </w:ins>
                    </w:p>
                    <w:p w14:paraId="039F7E65" w14:textId="77777777" w:rsidR="00CC017A" w:rsidRPr="00D226A0" w:rsidRDefault="00CC017A" w:rsidP="007C2BF0">
                      <w:pPr>
                        <w:tabs>
                          <w:tab w:val="left" w:pos="720"/>
                        </w:tabs>
                        <w:rPr>
                          <w:b/>
                          <w:sz w:val="20"/>
                          <w:szCs w:val="20"/>
                        </w:rPr>
                      </w:pPr>
                      <w:r>
                        <w:rPr>
                          <w:b/>
                          <w:sz w:val="20"/>
                          <w:szCs w:val="20"/>
                        </w:rPr>
                        <w:t>No:</w:t>
                      </w:r>
                      <w:r>
                        <w:rPr>
                          <w:b/>
                          <w:sz w:val="20"/>
                          <w:szCs w:val="20"/>
                        </w:rPr>
                        <w:tab/>
                        <w:t>1-15</w:t>
                      </w:r>
                    </w:p>
                  </w:txbxContent>
                </v:textbox>
              </v:shape>
            </w:pict>
          </mc:Fallback>
        </mc:AlternateContent>
      </w:r>
      <w:r w:rsidR="00D226A0">
        <w:tab/>
        <w:t>nO:</w:t>
      </w:r>
    </w:p>
    <w:tbl>
      <w:tblPr>
        <w:tblpPr w:leftFromText="180" w:rightFromText="180" w:vertAnchor="text" w:horzAnchor="margin" w:tblpY="313"/>
        <w:tblW w:w="10436" w:type="dxa"/>
        <w:tblLook w:val="04A0" w:firstRow="1" w:lastRow="0" w:firstColumn="1" w:lastColumn="0" w:noHBand="0" w:noVBand="1"/>
      </w:tblPr>
      <w:tblGrid>
        <w:gridCol w:w="2448"/>
        <w:gridCol w:w="7988"/>
      </w:tblGrid>
      <w:tr w:rsidR="003F7F2B" w14:paraId="44C761B6" w14:textId="77777777" w:rsidTr="005219BA">
        <w:trPr>
          <w:trHeight w:val="1712"/>
        </w:trPr>
        <w:tc>
          <w:tcPr>
            <w:tcW w:w="2448" w:type="dxa"/>
            <w:shd w:val="clear" w:color="auto" w:fill="auto"/>
          </w:tcPr>
          <w:p w14:paraId="70534605" w14:textId="77777777" w:rsidR="00D76B27" w:rsidRPr="00EA5F0C" w:rsidRDefault="001F6E31" w:rsidP="00272358">
            <w:pPr>
              <w:pStyle w:val="RecipientAddress"/>
              <w:tabs>
                <w:tab w:val="left" w:pos="4650"/>
              </w:tabs>
              <w:spacing w:after="80"/>
              <w:rPr>
                <w:rFonts w:ascii="Baskerville Old Face" w:hAnsi="Baskerville Old Face" w:cs="Times New Roman"/>
                <w:b/>
                <w:i/>
                <w:sz w:val="24"/>
                <w:szCs w:val="24"/>
              </w:rPr>
            </w:pPr>
            <w:r w:rsidRPr="00EA5F0C">
              <w:rPr>
                <w:rFonts w:ascii="Baskerville Old Face" w:hAnsi="Baskerville Old Face" w:cs="Times New Roman"/>
                <w:b/>
                <w:bCs/>
                <w:i/>
                <w:color w:val="17365D" w:themeColor="text2" w:themeShade="BF"/>
                <w:sz w:val="24"/>
                <w:szCs w:val="24"/>
              </w:rPr>
              <w:t xml:space="preserve">Informational </w:t>
            </w:r>
            <w:r w:rsidRPr="00EA5F0C">
              <w:rPr>
                <w:rFonts w:ascii="Baskerville Old Face" w:hAnsi="Baskerville Old Face" w:cs="Times New Roman"/>
                <w:b/>
                <w:bCs/>
                <w:i/>
                <w:color w:val="17365D" w:themeColor="text2" w:themeShade="BF"/>
                <w:sz w:val="24"/>
                <w:szCs w:val="24"/>
              </w:rPr>
              <w:br/>
              <w:t>Bulletin</w:t>
            </w:r>
          </w:p>
        </w:tc>
        <w:tc>
          <w:tcPr>
            <w:tcW w:w="7988" w:type="dxa"/>
            <w:shd w:val="clear" w:color="auto" w:fill="auto"/>
            <w:hideMark/>
          </w:tcPr>
          <w:p w14:paraId="45B22C25" w14:textId="77777777" w:rsidR="001F6E31" w:rsidRPr="007510ED" w:rsidRDefault="001F6E31"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This SPRI information</w:t>
            </w:r>
            <w:r w:rsidR="00371E3F">
              <w:rPr>
                <w:rFonts w:ascii="Calibri" w:hAnsi="Calibri" w:cs="Calibri"/>
                <w:color w:val="595959" w:themeColor="text1" w:themeTint="A6"/>
                <w:sz w:val="20"/>
                <w:szCs w:val="20"/>
              </w:rPr>
              <w:t xml:space="preserve"> bulletin</w:t>
            </w:r>
            <w:r w:rsidRPr="007510ED">
              <w:rPr>
                <w:rFonts w:ascii="Calibri" w:hAnsi="Calibri" w:cs="Calibri"/>
                <w:color w:val="595959" w:themeColor="text1" w:themeTint="A6"/>
                <w:sz w:val="20"/>
                <w:szCs w:val="20"/>
              </w:rPr>
              <w:t xml:space="preserve"> addresses:</w:t>
            </w:r>
          </w:p>
          <w:p w14:paraId="5F546ADF" w14:textId="77777777" w:rsidR="00751262" w:rsidRPr="007510ED" w:rsidRDefault="00CC017A" w:rsidP="009F0F65">
            <w:pPr>
              <w:pStyle w:val="ListParagraph"/>
              <w:numPr>
                <w:ilvl w:val="0"/>
                <w:numId w:val="2"/>
              </w:numPr>
              <w:tabs>
                <w:tab w:val="left" w:pos="612"/>
              </w:tabs>
              <w:spacing w:after="0" w:line="280" w:lineRule="atLeast"/>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w:t>
            </w:r>
            <w:r w:rsidR="001F6E31" w:rsidRPr="007510ED">
              <w:rPr>
                <w:rFonts w:ascii="Calibri" w:hAnsi="Calibri" w:cs="Calibri"/>
                <w:color w:val="595959" w:themeColor="text1" w:themeTint="A6"/>
                <w:sz w:val="20"/>
                <w:szCs w:val="20"/>
              </w:rPr>
              <w:t>opics related to roofing products and the need for code evaluations;</w:t>
            </w:r>
          </w:p>
          <w:p w14:paraId="4494C846" w14:textId="77777777" w:rsidR="00741A08" w:rsidRPr="007510ED" w:rsidRDefault="00CC017A" w:rsidP="009F0F65">
            <w:pPr>
              <w:pStyle w:val="ListParagraph"/>
              <w:numPr>
                <w:ilvl w:val="0"/>
                <w:numId w:val="2"/>
              </w:numPr>
              <w:tabs>
                <w:tab w:val="left" w:pos="612"/>
              </w:tabs>
              <w:spacing w:after="0" w:line="280" w:lineRule="atLeast"/>
              <w:ind w:left="612"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w:t>
            </w:r>
            <w:r w:rsidR="001F6E31" w:rsidRPr="007510ED">
              <w:rPr>
                <w:rFonts w:ascii="Calibri" w:hAnsi="Calibri" w:cs="Calibri"/>
                <w:color w:val="595959" w:themeColor="text1" w:themeTint="A6"/>
                <w:sz w:val="20"/>
                <w:szCs w:val="20"/>
              </w:rPr>
              <w:t>he options for providing code compliance information and the types of organizations that typically provide that information; and</w:t>
            </w:r>
          </w:p>
          <w:p w14:paraId="1AD4086A" w14:textId="77777777" w:rsidR="00272358" w:rsidRDefault="00CC017A" w:rsidP="009F0F65">
            <w:pPr>
              <w:pStyle w:val="ListParagraph"/>
              <w:numPr>
                <w:ilvl w:val="0"/>
                <w:numId w:val="2"/>
              </w:numPr>
              <w:tabs>
                <w:tab w:val="left" w:pos="612"/>
              </w:tabs>
              <w:spacing w:after="0" w:line="240" w:lineRule="auto"/>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R</w:t>
            </w:r>
            <w:r w:rsidR="001F6E31" w:rsidRPr="007510ED">
              <w:rPr>
                <w:rFonts w:ascii="Calibri" w:hAnsi="Calibri" w:cs="Calibri"/>
                <w:color w:val="595959" w:themeColor="text1" w:themeTint="A6"/>
                <w:sz w:val="20"/>
                <w:szCs w:val="20"/>
              </w:rPr>
              <w:t>equirements of the International Building Codes as they relate to membrane roof covering systems</w:t>
            </w:r>
            <w:r>
              <w:rPr>
                <w:rFonts w:ascii="Calibri" w:hAnsi="Calibri" w:cs="Calibri"/>
                <w:color w:val="595959" w:themeColor="text1" w:themeTint="A6"/>
                <w:sz w:val="20"/>
                <w:szCs w:val="20"/>
              </w:rPr>
              <w:t>.</w:t>
            </w:r>
          </w:p>
          <w:p w14:paraId="53537BF6" w14:textId="77777777" w:rsidR="008414D0" w:rsidRPr="005219BA" w:rsidRDefault="008414D0" w:rsidP="009F0F65">
            <w:pPr>
              <w:pStyle w:val="ListParagraph"/>
              <w:tabs>
                <w:tab w:val="left" w:pos="612"/>
              </w:tabs>
              <w:spacing w:after="0" w:line="240" w:lineRule="auto"/>
              <w:ind w:left="619" w:right="140"/>
              <w:rPr>
                <w:rFonts w:ascii="Calibri" w:hAnsi="Calibri" w:cs="Calibri"/>
                <w:color w:val="595959" w:themeColor="text1" w:themeTint="A6"/>
                <w:sz w:val="16"/>
                <w:szCs w:val="16"/>
              </w:rPr>
            </w:pPr>
          </w:p>
        </w:tc>
      </w:tr>
      <w:tr w:rsidR="003F7F2B" w14:paraId="06A96372" w14:textId="77777777" w:rsidTr="005219BA">
        <w:trPr>
          <w:trHeight w:val="1856"/>
        </w:trPr>
        <w:tc>
          <w:tcPr>
            <w:tcW w:w="2448" w:type="dxa"/>
            <w:shd w:val="clear" w:color="auto" w:fill="auto"/>
            <w:hideMark/>
          </w:tcPr>
          <w:p w14:paraId="2FFC58B0" w14:textId="77777777" w:rsidR="00384558" w:rsidRPr="00EA5F0C" w:rsidRDefault="001F6E31" w:rsidP="006166E2">
            <w:pPr>
              <w:pStyle w:val="RecipientAddress"/>
              <w:tabs>
                <w:tab w:val="left" w:pos="4650"/>
              </w:tabs>
              <w:spacing w:before="80" w:after="80" w:line="240" w:lineRule="auto"/>
              <w:rPr>
                <w:rFonts w:ascii="Baskerville Old Face" w:hAnsi="Baskerville Old Face" w:cs="Calibri"/>
                <w:b/>
                <w:i/>
                <w:color w:val="17365D" w:themeColor="text2" w:themeShade="BF"/>
                <w:sz w:val="24"/>
                <w:szCs w:val="24"/>
              </w:rPr>
            </w:pPr>
            <w:r w:rsidRPr="00EA5F0C">
              <w:rPr>
                <w:rFonts w:ascii="Baskerville Old Face" w:hAnsi="Baskerville Old Face" w:cs="Times New Roman"/>
                <w:b/>
                <w:i/>
                <w:color w:val="17365D" w:themeColor="text2" w:themeShade="BF"/>
                <w:sz w:val="24"/>
                <w:szCs w:val="24"/>
              </w:rPr>
              <w:t>What is product approval?</w:t>
            </w:r>
          </w:p>
        </w:tc>
        <w:tc>
          <w:tcPr>
            <w:tcW w:w="7988" w:type="dxa"/>
            <w:shd w:val="clear" w:color="auto" w:fill="auto"/>
          </w:tcPr>
          <w:p w14:paraId="7EE31C0B" w14:textId="77777777" w:rsidR="001F6E31" w:rsidRPr="007510ED" w:rsidRDefault="001F6E31"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A builder must demonstrate to the </w:t>
            </w:r>
            <w:r w:rsidR="002B556F">
              <w:rPr>
                <w:rFonts w:ascii="Calibri" w:hAnsi="Calibri" w:cs="Calibri"/>
                <w:color w:val="595959" w:themeColor="text1" w:themeTint="A6"/>
                <w:sz w:val="20"/>
                <w:szCs w:val="20"/>
              </w:rPr>
              <w:t>building</w:t>
            </w:r>
            <w:r w:rsidRPr="007510ED">
              <w:rPr>
                <w:rFonts w:ascii="Calibri" w:hAnsi="Calibri" w:cs="Calibri"/>
                <w:color w:val="595959" w:themeColor="text1" w:themeTint="A6"/>
                <w:sz w:val="20"/>
                <w:szCs w:val="20"/>
              </w:rPr>
              <w:t xml:space="preserve"> official that the roofing products they intend to install on a building comply with all of the requirements of the building, residential, plumbing, fire and energy codes that have been adopted in that jurisdiction.</w:t>
            </w:r>
          </w:p>
          <w:p w14:paraId="69B7D678" w14:textId="77777777" w:rsidR="001F6E31" w:rsidRDefault="00945575"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The </w:t>
            </w:r>
            <w:r w:rsidR="00542AD1">
              <w:rPr>
                <w:rFonts w:ascii="Calibri" w:hAnsi="Calibri" w:cs="Calibri"/>
                <w:color w:val="595959" w:themeColor="text1" w:themeTint="A6"/>
                <w:sz w:val="20"/>
                <w:szCs w:val="20"/>
              </w:rPr>
              <w:t xml:space="preserve">building codes authorize the building official to </w:t>
            </w:r>
            <w:r w:rsidR="00371E3F" w:rsidRPr="007510ED">
              <w:rPr>
                <w:rFonts w:ascii="Calibri" w:hAnsi="Calibri" w:cs="Calibri"/>
                <w:color w:val="595959" w:themeColor="text1" w:themeTint="A6"/>
                <w:sz w:val="20"/>
                <w:szCs w:val="20"/>
              </w:rPr>
              <w:t>enforc</w:t>
            </w:r>
            <w:r w:rsidR="00371E3F">
              <w:rPr>
                <w:rFonts w:ascii="Calibri" w:hAnsi="Calibri" w:cs="Calibri"/>
                <w:color w:val="595959" w:themeColor="text1" w:themeTint="A6"/>
                <w:sz w:val="20"/>
                <w:szCs w:val="20"/>
              </w:rPr>
              <w:t>e</w:t>
            </w:r>
            <w:r w:rsidR="00371E3F" w:rsidRPr="007510ED">
              <w:rPr>
                <w:rFonts w:ascii="Calibri" w:hAnsi="Calibri" w:cs="Calibri"/>
                <w:color w:val="595959" w:themeColor="text1" w:themeTint="A6"/>
                <w:sz w:val="20"/>
                <w:szCs w:val="20"/>
              </w:rPr>
              <w:t xml:space="preserve"> the codes and regulations that have been adopted through legislation for that jurisdiction</w:t>
            </w:r>
            <w:r w:rsidR="001F6E31" w:rsidRPr="007510ED">
              <w:rPr>
                <w:rFonts w:ascii="Calibri" w:hAnsi="Calibri" w:cs="Calibri"/>
                <w:color w:val="595959" w:themeColor="text1" w:themeTint="A6"/>
                <w:sz w:val="20"/>
                <w:szCs w:val="20"/>
              </w:rPr>
              <w:t xml:space="preserve">.  </w:t>
            </w:r>
          </w:p>
          <w:p w14:paraId="4CAB98D4" w14:textId="77777777" w:rsidR="00542AD1" w:rsidRDefault="00542AD1"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The building official is also referred to as the Authority Having Jurisdiction (AHJ)</w:t>
            </w:r>
            <w:r w:rsidR="00CC017A">
              <w:rPr>
                <w:rFonts w:ascii="Calibri" w:hAnsi="Calibri" w:cs="Calibri"/>
                <w:color w:val="595959" w:themeColor="text1" w:themeTint="A6"/>
                <w:sz w:val="20"/>
                <w:szCs w:val="20"/>
              </w:rPr>
              <w:t>.</w:t>
            </w:r>
          </w:p>
          <w:p w14:paraId="6E12D1AF" w14:textId="77777777" w:rsidR="00945575" w:rsidRPr="00945575" w:rsidRDefault="00945575" w:rsidP="009F0F65">
            <w:pPr>
              <w:pStyle w:val="ListParagraph"/>
              <w:numPr>
                <w:ilvl w:val="0"/>
                <w:numId w:val="18"/>
              </w:numPr>
              <w:spacing w:after="0" w:line="240" w:lineRule="auto"/>
              <w:ind w:right="140"/>
              <w:rPr>
                <w:rFonts w:ascii="Calibri" w:hAnsi="Calibri" w:cs="Calibri"/>
                <w:noProof/>
                <w:color w:val="595959" w:themeColor="text1" w:themeTint="A6"/>
                <w:sz w:val="20"/>
                <w:szCs w:val="20"/>
                <w:lang w:eastAsia="en-US"/>
              </w:rPr>
            </w:pPr>
            <w:r w:rsidRPr="007510ED">
              <w:rPr>
                <w:rFonts w:ascii="Calibri" w:hAnsi="Calibri" w:cs="Calibri"/>
                <w:color w:val="595959" w:themeColor="text1" w:themeTint="A6"/>
                <w:sz w:val="20"/>
                <w:szCs w:val="20"/>
              </w:rPr>
              <w:t xml:space="preserve">Most often, it is the manufacturer that </w:t>
            </w:r>
            <w:r>
              <w:rPr>
                <w:rFonts w:ascii="Calibri" w:hAnsi="Calibri" w:cs="Calibri"/>
                <w:color w:val="595959" w:themeColor="text1" w:themeTint="A6"/>
                <w:sz w:val="20"/>
                <w:szCs w:val="20"/>
              </w:rPr>
              <w:t>provides</w:t>
            </w:r>
            <w:r w:rsidRPr="007510ED">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evidence of code compliance</w:t>
            </w:r>
            <w:r w:rsidRPr="007510ED">
              <w:rPr>
                <w:rFonts w:ascii="Calibri" w:hAnsi="Calibri" w:cs="Calibri"/>
                <w:color w:val="595959" w:themeColor="text1" w:themeTint="A6"/>
                <w:sz w:val="20"/>
                <w:szCs w:val="20"/>
              </w:rPr>
              <w:t>.</w:t>
            </w:r>
          </w:p>
          <w:p w14:paraId="63030A27" w14:textId="77777777" w:rsidR="00FA7EF9" w:rsidRPr="007510ED" w:rsidRDefault="00FA7EF9" w:rsidP="009F0F65">
            <w:pPr>
              <w:pStyle w:val="ListParagraph"/>
              <w:spacing w:after="0" w:line="240" w:lineRule="auto"/>
              <w:ind w:right="140"/>
              <w:rPr>
                <w:rFonts w:ascii="Calibri" w:hAnsi="Calibri" w:cs="Calibri"/>
                <w:color w:val="595959" w:themeColor="text1" w:themeTint="A6"/>
                <w:sz w:val="20"/>
                <w:szCs w:val="20"/>
              </w:rPr>
            </w:pPr>
          </w:p>
        </w:tc>
      </w:tr>
      <w:tr w:rsidR="003F7F2B" w14:paraId="2D5644EC" w14:textId="77777777" w:rsidTr="008414D0">
        <w:trPr>
          <w:trHeight w:val="1983"/>
        </w:trPr>
        <w:tc>
          <w:tcPr>
            <w:tcW w:w="2448" w:type="dxa"/>
            <w:shd w:val="clear" w:color="auto" w:fill="auto"/>
          </w:tcPr>
          <w:p w14:paraId="2B58C7C2" w14:textId="77777777" w:rsidR="00741A08" w:rsidRPr="00EA5F0C" w:rsidRDefault="00443D59" w:rsidP="00945575">
            <w:pPr>
              <w:pStyle w:val="RecipientAddress"/>
              <w:tabs>
                <w:tab w:val="left" w:pos="4650"/>
              </w:tabs>
              <w:spacing w:before="80" w:after="80" w:line="240" w:lineRule="auto"/>
              <w:rPr>
                <w:rFonts w:ascii="Baskerville Old Face" w:hAnsi="Baskerville Old Face" w:cs="Times New Roman"/>
                <w:b/>
                <w:i/>
                <w:color w:val="17365D" w:themeColor="text2" w:themeShade="BF"/>
                <w:sz w:val="24"/>
                <w:szCs w:val="24"/>
              </w:rPr>
            </w:pPr>
            <w:r w:rsidRPr="00EA5F0C">
              <w:rPr>
                <w:rFonts w:ascii="Baskerville Old Face" w:hAnsi="Baskerville Old Face" w:cs="Times New Roman"/>
                <w:b/>
                <w:i/>
                <w:color w:val="17365D" w:themeColor="text2" w:themeShade="BF"/>
                <w:sz w:val="24"/>
                <w:szCs w:val="24"/>
              </w:rPr>
              <w:t xml:space="preserve">What information is </w:t>
            </w:r>
            <w:r w:rsidR="00945575">
              <w:rPr>
                <w:rFonts w:ascii="Baskerville Old Face" w:hAnsi="Baskerville Old Face" w:cs="Times New Roman"/>
                <w:b/>
                <w:i/>
                <w:color w:val="17365D" w:themeColor="text2" w:themeShade="BF"/>
                <w:sz w:val="24"/>
                <w:szCs w:val="24"/>
              </w:rPr>
              <w:t>needed</w:t>
            </w:r>
            <w:r w:rsidRPr="00EA5F0C">
              <w:rPr>
                <w:rFonts w:ascii="Baskerville Old Face" w:hAnsi="Baskerville Old Face" w:cs="Times New Roman"/>
                <w:b/>
                <w:i/>
                <w:color w:val="17365D" w:themeColor="text2" w:themeShade="BF"/>
                <w:sz w:val="24"/>
                <w:szCs w:val="24"/>
              </w:rPr>
              <w:t xml:space="preserve"> for an AHJ to approve membrane roof covering systems?</w:t>
            </w:r>
          </w:p>
        </w:tc>
        <w:tc>
          <w:tcPr>
            <w:tcW w:w="7988" w:type="dxa"/>
            <w:shd w:val="clear" w:color="auto" w:fill="auto"/>
          </w:tcPr>
          <w:p w14:paraId="07F431ED" w14:textId="77777777" w:rsidR="0068078B" w:rsidRPr="00443D59" w:rsidRDefault="001F6E31" w:rsidP="009F0F65">
            <w:pPr>
              <w:spacing w:before="80" w:after="0" w:line="240" w:lineRule="auto"/>
              <w:ind w:right="140"/>
              <w:rPr>
                <w:rFonts w:ascii="Calibri" w:hAnsi="Calibri" w:cs="Calibri"/>
                <w:color w:val="595959" w:themeColor="text1" w:themeTint="A6"/>
                <w:sz w:val="20"/>
                <w:szCs w:val="20"/>
              </w:rPr>
            </w:pPr>
            <w:r w:rsidRPr="00443D59">
              <w:rPr>
                <w:rFonts w:ascii="Calibri" w:hAnsi="Calibri" w:cs="Calibri"/>
                <w:color w:val="595959" w:themeColor="text1" w:themeTint="A6"/>
                <w:sz w:val="20"/>
                <w:szCs w:val="20"/>
              </w:rPr>
              <w:t xml:space="preserve">The requirements for roof coverings are contained within Chapter 15 of the International Building Code </w:t>
            </w:r>
            <w:r w:rsidR="00542AD1" w:rsidRPr="00443D59">
              <w:rPr>
                <w:rFonts w:ascii="Calibri" w:hAnsi="Calibri" w:cs="Calibri"/>
                <w:color w:val="595959" w:themeColor="text1" w:themeTint="A6"/>
                <w:sz w:val="20"/>
                <w:szCs w:val="20"/>
              </w:rPr>
              <w:t xml:space="preserve">(IBC) </w:t>
            </w:r>
            <w:r w:rsidRPr="00443D59">
              <w:rPr>
                <w:rFonts w:ascii="Calibri" w:hAnsi="Calibri" w:cs="Calibri"/>
                <w:color w:val="595959" w:themeColor="text1" w:themeTint="A6"/>
                <w:sz w:val="20"/>
                <w:szCs w:val="20"/>
              </w:rPr>
              <w:t>and Chapter 9 of the International Residential Code</w:t>
            </w:r>
            <w:r w:rsidR="00542AD1" w:rsidRPr="00443D59">
              <w:rPr>
                <w:rFonts w:ascii="Calibri" w:hAnsi="Calibri" w:cs="Calibri"/>
                <w:color w:val="595959" w:themeColor="text1" w:themeTint="A6"/>
                <w:sz w:val="20"/>
                <w:szCs w:val="20"/>
              </w:rPr>
              <w:t xml:space="preserve"> (IRC)</w:t>
            </w:r>
            <w:r w:rsidRPr="00443D59">
              <w:rPr>
                <w:rFonts w:ascii="Calibri" w:hAnsi="Calibri" w:cs="Calibri"/>
                <w:color w:val="595959" w:themeColor="text1" w:themeTint="A6"/>
                <w:sz w:val="20"/>
                <w:szCs w:val="20"/>
              </w:rPr>
              <w:t xml:space="preserve">, and related sections of state and local codes. </w:t>
            </w:r>
          </w:p>
          <w:p w14:paraId="3E2BF969" w14:textId="77777777" w:rsidR="0081003D" w:rsidRDefault="001F6E31"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These requirements include </w:t>
            </w:r>
            <w:r w:rsidR="00542AD1">
              <w:rPr>
                <w:rFonts w:ascii="Calibri" w:hAnsi="Calibri" w:cs="Calibri"/>
                <w:color w:val="595959" w:themeColor="text1" w:themeTint="A6"/>
                <w:sz w:val="20"/>
                <w:szCs w:val="20"/>
              </w:rPr>
              <w:t xml:space="preserve">weather protection, </w:t>
            </w:r>
            <w:r w:rsidRPr="007510ED">
              <w:rPr>
                <w:rFonts w:ascii="Calibri" w:hAnsi="Calibri" w:cs="Calibri"/>
                <w:color w:val="595959" w:themeColor="text1" w:themeTint="A6"/>
                <w:sz w:val="20"/>
                <w:szCs w:val="20"/>
              </w:rPr>
              <w:t>wind uplift resistance, external fire resistance, impact resistance and physical propert</w:t>
            </w:r>
            <w:r w:rsidR="00542AD1">
              <w:rPr>
                <w:rFonts w:ascii="Calibri" w:hAnsi="Calibri" w:cs="Calibri"/>
                <w:color w:val="595959" w:themeColor="text1" w:themeTint="A6"/>
                <w:sz w:val="20"/>
                <w:szCs w:val="20"/>
              </w:rPr>
              <w:t>ies</w:t>
            </w:r>
            <w:r w:rsidRPr="007510ED">
              <w:rPr>
                <w:rFonts w:ascii="Calibri" w:hAnsi="Calibri" w:cs="Calibri"/>
                <w:color w:val="595959" w:themeColor="text1" w:themeTint="A6"/>
                <w:sz w:val="20"/>
                <w:szCs w:val="20"/>
              </w:rPr>
              <w:t>.</w:t>
            </w:r>
          </w:p>
          <w:p w14:paraId="380C0058" w14:textId="77777777" w:rsidR="00945575" w:rsidRPr="00FC0270" w:rsidRDefault="00945575" w:rsidP="009F0F65">
            <w:pPr>
              <w:spacing w:after="0" w:line="240" w:lineRule="auto"/>
              <w:ind w:right="140"/>
              <w:rPr>
                <w:rFonts w:ascii="Calibri" w:hAnsi="Calibri" w:cs="Calibri"/>
                <w:color w:val="595959" w:themeColor="text1" w:themeTint="A6"/>
                <w:sz w:val="16"/>
                <w:szCs w:val="16"/>
              </w:rPr>
            </w:pPr>
          </w:p>
          <w:p w14:paraId="3F760995" w14:textId="77777777" w:rsidR="00945575" w:rsidRPr="007510ED" w:rsidRDefault="00945575"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There are three methods for providing the relevant information to the AHJ. Combinations of these methods can be used to show code compliance for a particular building:</w:t>
            </w:r>
          </w:p>
          <w:p w14:paraId="2E5A7C43" w14:textId="77777777" w:rsidR="00945575" w:rsidRPr="007510ED" w:rsidRDefault="00945575" w:rsidP="009F0F65">
            <w:pPr>
              <w:pStyle w:val="ListParagraph"/>
              <w:numPr>
                <w:ilvl w:val="0"/>
                <w:numId w:val="19"/>
              </w:num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Manufacturer </w:t>
            </w:r>
            <w:r>
              <w:rPr>
                <w:rFonts w:ascii="Calibri" w:hAnsi="Calibri" w:cs="Calibri"/>
                <w:color w:val="595959" w:themeColor="text1" w:themeTint="A6"/>
                <w:sz w:val="20"/>
                <w:szCs w:val="20"/>
              </w:rPr>
              <w:t>s</w:t>
            </w:r>
            <w:r w:rsidRPr="007510ED">
              <w:rPr>
                <w:rFonts w:ascii="Calibri" w:hAnsi="Calibri" w:cs="Calibri"/>
                <w:color w:val="595959" w:themeColor="text1" w:themeTint="A6"/>
                <w:sz w:val="20"/>
                <w:szCs w:val="20"/>
              </w:rPr>
              <w:t>elf-</w:t>
            </w:r>
            <w:r>
              <w:rPr>
                <w:rFonts w:ascii="Calibri" w:hAnsi="Calibri" w:cs="Calibri"/>
                <w:color w:val="595959" w:themeColor="text1" w:themeTint="A6"/>
                <w:sz w:val="20"/>
                <w:szCs w:val="20"/>
              </w:rPr>
              <w:t>c</w:t>
            </w:r>
            <w:r w:rsidRPr="007510ED">
              <w:rPr>
                <w:rFonts w:ascii="Calibri" w:hAnsi="Calibri" w:cs="Calibri"/>
                <w:color w:val="595959" w:themeColor="text1" w:themeTint="A6"/>
                <w:sz w:val="20"/>
                <w:szCs w:val="20"/>
              </w:rPr>
              <w:t>ertification;</w:t>
            </w:r>
          </w:p>
          <w:p w14:paraId="605DD5BA" w14:textId="77777777" w:rsidR="00945575" w:rsidRPr="00945575" w:rsidRDefault="00945575" w:rsidP="009F0F65">
            <w:pPr>
              <w:pStyle w:val="ListParagraph"/>
              <w:numPr>
                <w:ilvl w:val="0"/>
                <w:numId w:val="19"/>
              </w:numPr>
              <w:spacing w:after="0" w:line="240" w:lineRule="auto"/>
              <w:ind w:right="140"/>
              <w:rPr>
                <w:strike/>
                <w:color w:val="595959" w:themeColor="text1" w:themeTint="A6"/>
              </w:rPr>
            </w:pPr>
            <w:r w:rsidRPr="007510ED">
              <w:rPr>
                <w:rFonts w:ascii="Calibri" w:hAnsi="Calibri" w:cs="Calibri"/>
                <w:color w:val="595959" w:themeColor="text1" w:themeTint="A6"/>
                <w:sz w:val="20"/>
                <w:szCs w:val="20"/>
              </w:rPr>
              <w:t xml:space="preserve">Listing (aka Labeling or Certification) by an </w:t>
            </w:r>
            <w:r>
              <w:rPr>
                <w:rFonts w:ascii="Calibri" w:hAnsi="Calibri" w:cs="Calibri"/>
                <w:color w:val="595959" w:themeColor="text1" w:themeTint="A6"/>
                <w:sz w:val="20"/>
                <w:szCs w:val="20"/>
              </w:rPr>
              <w:t>i</w:t>
            </w:r>
            <w:r w:rsidRPr="007510ED">
              <w:rPr>
                <w:rFonts w:ascii="Calibri" w:hAnsi="Calibri" w:cs="Calibri"/>
                <w:color w:val="595959" w:themeColor="text1" w:themeTint="A6"/>
                <w:sz w:val="20"/>
                <w:szCs w:val="20"/>
              </w:rPr>
              <w:t xml:space="preserve">ndependent </w:t>
            </w:r>
            <w:r>
              <w:rPr>
                <w:rFonts w:ascii="Calibri" w:hAnsi="Calibri" w:cs="Calibri"/>
                <w:color w:val="595959" w:themeColor="text1" w:themeTint="A6"/>
                <w:sz w:val="20"/>
                <w:szCs w:val="20"/>
              </w:rPr>
              <w:t>t</w:t>
            </w:r>
            <w:r w:rsidRPr="007510ED">
              <w:rPr>
                <w:rFonts w:ascii="Calibri" w:hAnsi="Calibri" w:cs="Calibri"/>
                <w:color w:val="595959" w:themeColor="text1" w:themeTint="A6"/>
                <w:sz w:val="20"/>
                <w:szCs w:val="20"/>
              </w:rPr>
              <w:t xml:space="preserve">hird </w:t>
            </w:r>
            <w:r>
              <w:rPr>
                <w:rFonts w:ascii="Calibri" w:hAnsi="Calibri" w:cs="Calibri"/>
                <w:color w:val="595959" w:themeColor="text1" w:themeTint="A6"/>
                <w:sz w:val="20"/>
                <w:szCs w:val="20"/>
              </w:rPr>
              <w:t>p</w:t>
            </w:r>
            <w:r w:rsidRPr="007510ED">
              <w:rPr>
                <w:rFonts w:ascii="Calibri" w:hAnsi="Calibri" w:cs="Calibri"/>
                <w:color w:val="595959" w:themeColor="text1" w:themeTint="A6"/>
                <w:sz w:val="20"/>
                <w:szCs w:val="20"/>
              </w:rPr>
              <w:t>arty; and</w:t>
            </w:r>
          </w:p>
          <w:p w14:paraId="0ADD340A" w14:textId="77777777" w:rsidR="00945575" w:rsidRPr="008414D0" w:rsidRDefault="00945575" w:rsidP="009F0F65">
            <w:pPr>
              <w:pStyle w:val="ListParagraph"/>
              <w:numPr>
                <w:ilvl w:val="0"/>
                <w:numId w:val="19"/>
              </w:numPr>
              <w:spacing w:after="0" w:line="240" w:lineRule="auto"/>
              <w:ind w:right="140"/>
              <w:rPr>
                <w:strike/>
                <w:color w:val="595959" w:themeColor="text1" w:themeTint="A6"/>
              </w:rPr>
            </w:pPr>
            <w:r w:rsidRPr="00945575">
              <w:rPr>
                <w:rFonts w:ascii="Calibri" w:hAnsi="Calibri" w:cs="Calibri"/>
                <w:color w:val="595959" w:themeColor="text1" w:themeTint="A6"/>
                <w:sz w:val="20"/>
                <w:szCs w:val="20"/>
              </w:rPr>
              <w:t>Code evaluation and certification by an independent third party</w:t>
            </w:r>
            <w:r w:rsidR="00FC0270">
              <w:rPr>
                <w:rFonts w:ascii="Calibri" w:hAnsi="Calibri" w:cs="Calibri"/>
                <w:color w:val="595959" w:themeColor="text1" w:themeTint="A6"/>
                <w:sz w:val="20"/>
                <w:szCs w:val="20"/>
              </w:rPr>
              <w:t>.</w:t>
            </w:r>
          </w:p>
          <w:p w14:paraId="63221396" w14:textId="77777777" w:rsidR="008414D0" w:rsidRPr="00945575" w:rsidRDefault="008414D0" w:rsidP="009F0F65">
            <w:pPr>
              <w:pStyle w:val="ListParagraph"/>
              <w:spacing w:after="0" w:line="240" w:lineRule="auto"/>
              <w:ind w:right="140"/>
              <w:rPr>
                <w:strike/>
                <w:color w:val="595959" w:themeColor="text1" w:themeTint="A6"/>
              </w:rPr>
            </w:pPr>
          </w:p>
        </w:tc>
      </w:tr>
      <w:tr w:rsidR="003F7F2B" w:rsidRPr="00272358" w14:paraId="4D55B301" w14:textId="77777777" w:rsidTr="008414D0">
        <w:trPr>
          <w:trHeight w:val="1785"/>
        </w:trPr>
        <w:tc>
          <w:tcPr>
            <w:tcW w:w="2448" w:type="dxa"/>
            <w:shd w:val="clear" w:color="auto" w:fill="auto"/>
          </w:tcPr>
          <w:p w14:paraId="619EECFF" w14:textId="77777777" w:rsidR="00741A08" w:rsidRPr="00EA5F0C" w:rsidRDefault="00EA5F0C"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r w:rsidRPr="00EA5F0C">
              <w:rPr>
                <w:rFonts w:ascii="Baskerville Old Face" w:hAnsi="Baskerville Old Face"/>
                <w:b/>
                <w:i/>
                <w:color w:val="17365D" w:themeColor="text2" w:themeShade="BF"/>
                <w:sz w:val="24"/>
                <w:szCs w:val="24"/>
              </w:rPr>
              <w:t>How can new or innovative roofing products or assemblies show compliance</w:t>
            </w:r>
            <w:r w:rsidR="00945575">
              <w:rPr>
                <w:rFonts w:ascii="Baskerville Old Face" w:hAnsi="Baskerville Old Face"/>
                <w:b/>
                <w:i/>
                <w:color w:val="17365D" w:themeColor="text2" w:themeShade="BF"/>
                <w:sz w:val="24"/>
                <w:szCs w:val="24"/>
              </w:rPr>
              <w:t>?</w:t>
            </w:r>
          </w:p>
        </w:tc>
        <w:tc>
          <w:tcPr>
            <w:tcW w:w="7988" w:type="dxa"/>
            <w:shd w:val="clear" w:color="auto" w:fill="auto"/>
          </w:tcPr>
          <w:p w14:paraId="28F6D59E" w14:textId="77777777" w:rsidR="00957FE6" w:rsidRPr="007510ED" w:rsidRDefault="00EA5F0C" w:rsidP="009F0F65">
            <w:pPr>
              <w:tabs>
                <w:tab w:val="left" w:pos="301"/>
              </w:tabs>
              <w:spacing w:before="80" w:after="0" w:line="240" w:lineRule="auto"/>
              <w:ind w:left="259" w:right="140"/>
              <w:rPr>
                <w:rFonts w:ascii="Calibri" w:hAnsi="Calibri" w:cs="Calibri"/>
                <w:b/>
                <w:color w:val="595959" w:themeColor="text1" w:themeTint="A6"/>
                <w:sz w:val="20"/>
                <w:szCs w:val="20"/>
              </w:rPr>
            </w:pPr>
            <w:r w:rsidRPr="007510ED">
              <w:rPr>
                <w:rFonts w:ascii="Calibri" w:hAnsi="Calibri" w:cs="Calibri"/>
                <w:color w:val="595959" w:themeColor="text1" w:themeTint="A6"/>
                <w:sz w:val="20"/>
                <w:szCs w:val="20"/>
              </w:rPr>
              <w:t>Alternative materials and methods of construction are regulated by Section 104.11 of the IBC and IRC. The material or method of construction must be shown to be equivalent to that described in the code as to quality, strength, effectiveness, fire resistance, durability and safety</w:t>
            </w:r>
            <w:r w:rsidR="007242C2" w:rsidRPr="007510ED">
              <w:rPr>
                <w:rFonts w:ascii="Calibri" w:hAnsi="Calibri" w:cs="Calibri"/>
                <w:color w:val="595959" w:themeColor="text1" w:themeTint="A6"/>
                <w:sz w:val="20"/>
                <w:szCs w:val="20"/>
              </w:rPr>
              <w:t>.</w:t>
            </w:r>
          </w:p>
          <w:p w14:paraId="206DE637" w14:textId="77777777" w:rsidR="00FA7EF9" w:rsidRPr="007510ED" w:rsidRDefault="00542AD1" w:rsidP="009F0F65">
            <w:pPr>
              <w:pStyle w:val="ListParagraph"/>
              <w:numPr>
                <w:ilvl w:val="0"/>
                <w:numId w:val="10"/>
              </w:numPr>
              <w:tabs>
                <w:tab w:val="left" w:pos="612"/>
                <w:tab w:val="left" w:pos="4650"/>
              </w:tabs>
              <w:spacing w:after="0" w:line="280" w:lineRule="atLeast"/>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One method to establish e</w:t>
            </w:r>
            <w:r w:rsidR="007242C2" w:rsidRPr="007510ED">
              <w:rPr>
                <w:rFonts w:ascii="Calibri" w:hAnsi="Calibri" w:cs="Calibri"/>
                <w:color w:val="595959" w:themeColor="text1" w:themeTint="A6"/>
                <w:sz w:val="20"/>
                <w:szCs w:val="20"/>
              </w:rPr>
              <w:t xml:space="preserve">quivalency is through a normative standard called </w:t>
            </w:r>
            <w:r>
              <w:rPr>
                <w:rFonts w:ascii="Calibri" w:hAnsi="Calibri" w:cs="Calibri"/>
                <w:color w:val="595959" w:themeColor="text1" w:themeTint="A6"/>
                <w:sz w:val="20"/>
                <w:szCs w:val="20"/>
              </w:rPr>
              <w:t xml:space="preserve">an </w:t>
            </w:r>
            <w:r w:rsidR="007242C2" w:rsidRPr="007510ED">
              <w:rPr>
                <w:rFonts w:ascii="Calibri" w:hAnsi="Calibri" w:cs="Calibri"/>
                <w:color w:val="595959" w:themeColor="text1" w:themeTint="A6"/>
                <w:sz w:val="20"/>
                <w:szCs w:val="20"/>
              </w:rPr>
              <w:t>Acceptance Criteria</w:t>
            </w:r>
            <w:r w:rsidR="007510ED">
              <w:rPr>
                <w:rFonts w:ascii="Calibri" w:hAnsi="Calibri" w:cs="Calibri"/>
                <w:color w:val="595959" w:themeColor="text1" w:themeTint="A6"/>
                <w:sz w:val="20"/>
                <w:szCs w:val="20"/>
              </w:rPr>
              <w:t>.</w:t>
            </w:r>
          </w:p>
          <w:p w14:paraId="3325A153" w14:textId="77777777" w:rsidR="00FA7EF9" w:rsidRPr="007510ED" w:rsidRDefault="007242C2" w:rsidP="009F0F65">
            <w:pPr>
              <w:pStyle w:val="ListParagraph"/>
              <w:numPr>
                <w:ilvl w:val="0"/>
                <w:numId w:val="10"/>
              </w:numPr>
              <w:tabs>
                <w:tab w:val="left" w:pos="612"/>
                <w:tab w:val="left" w:pos="4650"/>
              </w:tabs>
              <w:spacing w:after="0" w:line="280" w:lineRule="atLeast"/>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Acceptance Criteria describe the means to evaluate the product or method of construction for code compliance</w:t>
            </w:r>
            <w:r w:rsidR="007510ED">
              <w:rPr>
                <w:rFonts w:ascii="Calibri" w:hAnsi="Calibri" w:cs="Calibri"/>
                <w:color w:val="595959" w:themeColor="text1" w:themeTint="A6"/>
                <w:sz w:val="20"/>
                <w:szCs w:val="20"/>
              </w:rPr>
              <w:t>.</w:t>
            </w:r>
          </w:p>
          <w:p w14:paraId="45AAC2B8" w14:textId="77777777" w:rsidR="00FF6DB0" w:rsidRPr="007510ED" w:rsidRDefault="007510ED" w:rsidP="009F0F65">
            <w:pPr>
              <w:pStyle w:val="ListParagraph"/>
              <w:numPr>
                <w:ilvl w:val="0"/>
                <w:numId w:val="10"/>
              </w:numPr>
              <w:tabs>
                <w:tab w:val="left" w:pos="612"/>
                <w:tab w:val="left" w:pos="4650"/>
              </w:tabs>
              <w:spacing w:after="0" w:line="280" w:lineRule="atLeast"/>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 code evaluation agency can evaluate the product or method of construction and publish its findings in a Research Report.</w:t>
            </w:r>
          </w:p>
          <w:p w14:paraId="42FCF751" w14:textId="77777777" w:rsidR="007510ED" w:rsidRPr="008414D0" w:rsidRDefault="007510ED" w:rsidP="009F0F65">
            <w:pPr>
              <w:pStyle w:val="ListParagraph"/>
              <w:numPr>
                <w:ilvl w:val="0"/>
                <w:numId w:val="10"/>
              </w:numPr>
              <w:tabs>
                <w:tab w:val="left" w:pos="612"/>
                <w:tab w:val="left" w:pos="4650"/>
              </w:tabs>
              <w:spacing w:after="0" w:line="240" w:lineRule="auto"/>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Alternatives must be approved by the AHJ.</w:t>
            </w:r>
          </w:p>
          <w:p w14:paraId="7DA8BC88" w14:textId="77777777" w:rsidR="008414D0" w:rsidRPr="007510ED" w:rsidRDefault="008414D0" w:rsidP="009F0F65">
            <w:pPr>
              <w:pStyle w:val="ListParagraph"/>
              <w:tabs>
                <w:tab w:val="left" w:pos="612"/>
                <w:tab w:val="left" w:pos="4650"/>
              </w:tabs>
              <w:spacing w:after="0" w:line="240" w:lineRule="auto"/>
              <w:ind w:left="619" w:right="140"/>
              <w:rPr>
                <w:rFonts w:ascii="Calibri" w:hAnsi="Calibri" w:cs="Calibri"/>
                <w:i/>
                <w:color w:val="595959" w:themeColor="text1" w:themeTint="A6"/>
                <w:sz w:val="20"/>
                <w:szCs w:val="20"/>
              </w:rPr>
            </w:pPr>
          </w:p>
        </w:tc>
      </w:tr>
      <w:tr w:rsidR="00FA7EF9" w:rsidRPr="00272358" w14:paraId="4520AAEA" w14:textId="77777777" w:rsidTr="00FC0270">
        <w:trPr>
          <w:trHeight w:val="1595"/>
        </w:trPr>
        <w:tc>
          <w:tcPr>
            <w:tcW w:w="2448" w:type="dxa"/>
            <w:shd w:val="clear" w:color="auto" w:fill="auto"/>
          </w:tcPr>
          <w:p w14:paraId="6BC1021B" w14:textId="77777777" w:rsidR="00FA7EF9" w:rsidRDefault="007510ED"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r w:rsidRPr="007510ED">
              <w:rPr>
                <w:rFonts w:ascii="Baskerville Old Face" w:hAnsi="Baskerville Old Face"/>
                <w:b/>
                <w:i/>
                <w:color w:val="17365D" w:themeColor="text2" w:themeShade="BF"/>
                <w:sz w:val="24"/>
                <w:szCs w:val="24"/>
              </w:rPr>
              <w:t>Are Research Reports mandatory?</w:t>
            </w:r>
          </w:p>
          <w:p w14:paraId="667AB05B" w14:textId="77777777" w:rsidR="008414D0" w:rsidRDefault="008414D0"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p>
          <w:p w14:paraId="0BCC784A" w14:textId="77777777" w:rsidR="008414D0" w:rsidRPr="007510ED" w:rsidRDefault="008414D0" w:rsidP="006166E2">
            <w:pPr>
              <w:pStyle w:val="RecipientAddress"/>
              <w:tabs>
                <w:tab w:val="left" w:pos="4650"/>
              </w:tabs>
              <w:spacing w:before="80" w:after="80" w:line="240" w:lineRule="auto"/>
              <w:rPr>
                <w:rFonts w:ascii="Baskerville Old Face" w:hAnsi="Baskerville Old Face" w:cs="Times New Roman"/>
                <w:b/>
                <w:i/>
                <w:color w:val="17365D" w:themeColor="text2" w:themeShade="BF"/>
                <w:sz w:val="24"/>
                <w:szCs w:val="24"/>
              </w:rPr>
            </w:pPr>
          </w:p>
        </w:tc>
        <w:tc>
          <w:tcPr>
            <w:tcW w:w="7988" w:type="dxa"/>
            <w:shd w:val="clear" w:color="auto" w:fill="auto"/>
          </w:tcPr>
          <w:p w14:paraId="3E2F7192" w14:textId="77777777" w:rsidR="007510ED" w:rsidRPr="006D5F5B" w:rsidRDefault="007510ED" w:rsidP="009F0F65">
            <w:pPr>
              <w:pStyle w:val="ListParagraph"/>
              <w:numPr>
                <w:ilvl w:val="0"/>
                <w:numId w:val="20"/>
              </w:numPr>
              <w:ind w:left="612" w:right="140"/>
              <w:rPr>
                <w:rFonts w:ascii="Calibri" w:hAnsi="Calibri" w:cs="Calibri"/>
                <w:color w:val="595959" w:themeColor="text1" w:themeTint="A6"/>
                <w:sz w:val="20"/>
                <w:szCs w:val="20"/>
              </w:rPr>
            </w:pPr>
            <w:r w:rsidRPr="006D5F5B">
              <w:rPr>
                <w:rFonts w:ascii="Calibri" w:hAnsi="Calibri" w:cs="Calibri"/>
                <w:color w:val="595959" w:themeColor="text1" w:themeTint="A6"/>
                <w:sz w:val="20"/>
                <w:szCs w:val="20"/>
              </w:rPr>
              <w:t xml:space="preserve">No, the AHJ should not insist on a research report </w:t>
            </w:r>
            <w:r w:rsidR="00AB4457" w:rsidRPr="006D5F5B">
              <w:rPr>
                <w:rFonts w:ascii="Calibri" w:hAnsi="Calibri" w:cs="Calibri"/>
                <w:color w:val="595959" w:themeColor="text1" w:themeTint="A6"/>
                <w:sz w:val="20"/>
                <w:szCs w:val="20"/>
              </w:rPr>
              <w:t xml:space="preserve">for a membrane roofing system </w:t>
            </w:r>
            <w:r w:rsidRPr="006D5F5B">
              <w:rPr>
                <w:rFonts w:ascii="Calibri" w:hAnsi="Calibri" w:cs="Calibri"/>
                <w:color w:val="595959" w:themeColor="text1" w:themeTint="A6"/>
                <w:sz w:val="20"/>
                <w:szCs w:val="20"/>
              </w:rPr>
              <w:t xml:space="preserve">if the manufacturer has data available for the AHJ to review. </w:t>
            </w:r>
            <w:r w:rsidR="00AB4457" w:rsidRPr="006D5F5B">
              <w:rPr>
                <w:rFonts w:ascii="Calibri" w:hAnsi="Calibri" w:cs="Calibri"/>
                <w:color w:val="595959" w:themeColor="text1" w:themeTint="A6"/>
                <w:sz w:val="20"/>
                <w:szCs w:val="20"/>
              </w:rPr>
              <w:t xml:space="preserve">Research reports from approved sources are intended to </w:t>
            </w:r>
            <w:r w:rsidR="00542AD1" w:rsidRPr="006D5F5B">
              <w:rPr>
                <w:rFonts w:ascii="Calibri" w:hAnsi="Calibri" w:cs="Calibri"/>
                <w:color w:val="595959" w:themeColor="text1" w:themeTint="A6"/>
                <w:sz w:val="20"/>
                <w:szCs w:val="20"/>
              </w:rPr>
              <w:t>assist in the approval of materials or assemblies not specifically provided for in the code.</w:t>
            </w:r>
          </w:p>
          <w:p w14:paraId="3D24BAD7" w14:textId="77777777" w:rsidR="00FC0270" w:rsidRPr="007510ED" w:rsidRDefault="00AB4457" w:rsidP="009F0F65">
            <w:pPr>
              <w:pStyle w:val="ListParagraph"/>
              <w:numPr>
                <w:ilvl w:val="0"/>
                <w:numId w:val="20"/>
              </w:numPr>
              <w:spacing w:after="0" w:line="240" w:lineRule="auto"/>
              <w:ind w:left="619" w:right="140"/>
              <w:rPr>
                <w:rFonts w:ascii="Calibri" w:hAnsi="Calibri" w:cs="Calibri"/>
                <w:color w:val="595959" w:themeColor="text1" w:themeTint="A6"/>
                <w:sz w:val="20"/>
                <w:szCs w:val="20"/>
              </w:rPr>
            </w:pPr>
            <w:r w:rsidRPr="006D5F5B">
              <w:rPr>
                <w:rFonts w:ascii="Calibri" w:hAnsi="Calibri" w:cs="Calibri"/>
                <w:color w:val="595959" w:themeColor="text1" w:themeTint="A6"/>
                <w:sz w:val="20"/>
                <w:szCs w:val="20"/>
              </w:rPr>
              <w:t>For membrane roofing systems, s</w:t>
            </w:r>
            <w:r w:rsidR="007510ED" w:rsidRPr="006D5F5B">
              <w:rPr>
                <w:rFonts w:ascii="Calibri" w:hAnsi="Calibri" w:cs="Calibri"/>
                <w:color w:val="595959" w:themeColor="text1" w:themeTint="A6"/>
                <w:sz w:val="20"/>
                <w:szCs w:val="20"/>
              </w:rPr>
              <w:t>ubmitting the appropriate data to show compliance</w:t>
            </w:r>
            <w:r w:rsidR="007510ED" w:rsidRPr="00FC0270">
              <w:rPr>
                <w:rFonts w:ascii="Calibri" w:hAnsi="Calibri" w:cs="Calibri"/>
                <w:color w:val="595959" w:themeColor="text1" w:themeTint="A6"/>
                <w:sz w:val="20"/>
                <w:szCs w:val="20"/>
              </w:rPr>
              <w:t xml:space="preserve"> with the various aspects of the building code is absolutely acceptab</w:t>
            </w:r>
            <w:r w:rsidR="007510ED" w:rsidRPr="007510ED">
              <w:rPr>
                <w:rFonts w:ascii="Calibri" w:hAnsi="Calibri" w:cs="Calibri"/>
                <w:color w:val="595959" w:themeColor="text1" w:themeTint="A6"/>
                <w:sz w:val="20"/>
                <w:szCs w:val="20"/>
              </w:rPr>
              <w:t xml:space="preserve">le.  </w:t>
            </w:r>
          </w:p>
        </w:tc>
      </w:tr>
      <w:tr w:rsidR="0080723B" w:rsidRPr="00272358" w14:paraId="17E7201C" w14:textId="77777777" w:rsidTr="008414D0">
        <w:trPr>
          <w:trHeight w:val="1080"/>
        </w:trPr>
        <w:tc>
          <w:tcPr>
            <w:tcW w:w="2448" w:type="dxa"/>
            <w:shd w:val="clear" w:color="auto" w:fill="auto"/>
          </w:tcPr>
          <w:p w14:paraId="1149A090" w14:textId="77777777" w:rsidR="0080723B" w:rsidRDefault="005966DE" w:rsidP="009F0F65">
            <w:pPr>
              <w:pStyle w:val="RecipientAddress"/>
              <w:tabs>
                <w:tab w:val="left" w:pos="4650"/>
              </w:tabs>
              <w:spacing w:before="80" w:after="80" w:line="240" w:lineRule="auto"/>
              <w:ind w:right="140"/>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lastRenderedPageBreak/>
              <w:t>Conclusion</w:t>
            </w:r>
          </w:p>
        </w:tc>
        <w:tc>
          <w:tcPr>
            <w:tcW w:w="7988" w:type="dxa"/>
            <w:shd w:val="clear" w:color="auto" w:fill="auto"/>
          </w:tcPr>
          <w:p w14:paraId="50A167B6" w14:textId="77777777" w:rsidR="0080723B" w:rsidRPr="007510ED"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The Authority Having Jurisdiction has the responsibility to approve the use of products and methods of construction </w:t>
            </w:r>
            <w:r w:rsidR="00945575">
              <w:rPr>
                <w:rFonts w:ascii="Calibri" w:hAnsi="Calibri" w:cs="Calibri"/>
                <w:color w:val="595959" w:themeColor="text1" w:themeTint="A6"/>
                <w:sz w:val="20"/>
                <w:szCs w:val="20"/>
              </w:rPr>
              <w:t xml:space="preserve">used in his or her jurisdiction </w:t>
            </w:r>
            <w:r w:rsidR="002B556F">
              <w:rPr>
                <w:rFonts w:ascii="Calibri" w:hAnsi="Calibri" w:cs="Calibri"/>
                <w:color w:val="595959" w:themeColor="text1" w:themeTint="A6"/>
                <w:sz w:val="20"/>
                <w:szCs w:val="20"/>
              </w:rPr>
              <w:t>and to ensure the products and methods of construction</w:t>
            </w:r>
            <w:r w:rsidRPr="007510ED">
              <w:rPr>
                <w:rFonts w:ascii="Calibri" w:hAnsi="Calibri" w:cs="Calibri"/>
                <w:color w:val="595959" w:themeColor="text1" w:themeTint="A6"/>
                <w:sz w:val="20"/>
                <w:szCs w:val="20"/>
              </w:rPr>
              <w:t xml:space="preserve"> conform </w:t>
            </w:r>
            <w:r w:rsidR="002B556F">
              <w:rPr>
                <w:rFonts w:ascii="Calibri" w:hAnsi="Calibri" w:cs="Calibri"/>
                <w:color w:val="595959" w:themeColor="text1" w:themeTint="A6"/>
                <w:sz w:val="20"/>
                <w:szCs w:val="20"/>
              </w:rPr>
              <w:t>to</w:t>
            </w:r>
            <w:r w:rsidRPr="007510ED">
              <w:rPr>
                <w:rFonts w:ascii="Calibri" w:hAnsi="Calibri" w:cs="Calibri"/>
                <w:color w:val="595959" w:themeColor="text1" w:themeTint="A6"/>
                <w:sz w:val="20"/>
                <w:szCs w:val="20"/>
              </w:rPr>
              <w:t xml:space="preserve"> the requirements of the </w:t>
            </w:r>
            <w:r w:rsidR="00945575">
              <w:rPr>
                <w:rFonts w:ascii="Calibri" w:hAnsi="Calibri" w:cs="Calibri"/>
                <w:color w:val="595959" w:themeColor="text1" w:themeTint="A6"/>
                <w:sz w:val="20"/>
                <w:szCs w:val="20"/>
              </w:rPr>
              <w:t xml:space="preserve">applicable </w:t>
            </w:r>
            <w:r w:rsidRPr="007510ED">
              <w:rPr>
                <w:rFonts w:ascii="Calibri" w:hAnsi="Calibri" w:cs="Calibri"/>
                <w:color w:val="595959" w:themeColor="text1" w:themeTint="A6"/>
                <w:sz w:val="20"/>
                <w:szCs w:val="20"/>
              </w:rPr>
              <w:t>building codes</w:t>
            </w:r>
            <w:r w:rsidR="002B556F">
              <w:rPr>
                <w:rFonts w:ascii="Calibri" w:hAnsi="Calibri" w:cs="Calibri"/>
                <w:color w:val="595959" w:themeColor="text1" w:themeTint="A6"/>
                <w:sz w:val="20"/>
                <w:szCs w:val="20"/>
              </w:rPr>
              <w:t>.</w:t>
            </w:r>
          </w:p>
          <w:p w14:paraId="5B14A22F" w14:textId="77777777" w:rsidR="0080723B"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Information provided to the AHJ to demonstrate compliance can take several forms</w:t>
            </w:r>
            <w:r w:rsidR="002B556F">
              <w:rPr>
                <w:rFonts w:ascii="Calibri" w:hAnsi="Calibri" w:cs="Calibri"/>
                <w:color w:val="595959" w:themeColor="text1" w:themeTint="A6"/>
                <w:sz w:val="20"/>
                <w:szCs w:val="20"/>
              </w:rPr>
              <w:t>.</w:t>
            </w:r>
          </w:p>
          <w:p w14:paraId="419EC296" w14:textId="77777777" w:rsidR="00AB4457" w:rsidRPr="007510ED" w:rsidRDefault="00AB4457"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Pr>
                <w:rFonts w:ascii="Calibri" w:hAnsi="Calibri" w:cs="Calibri"/>
                <w:color w:val="595959" w:themeColor="text1" w:themeTint="A6"/>
                <w:sz w:val="20"/>
                <w:szCs w:val="20"/>
              </w:rPr>
              <w:t>A research report will help make the process of review and approval by the AHJ simpler, but should only be mandatory when the product or method of construction is an alternative to that specified in the code.</w:t>
            </w:r>
          </w:p>
          <w:p w14:paraId="029BC259" w14:textId="77777777" w:rsidR="007510ED" w:rsidRPr="007510ED"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AHJs and manufacturers rely on the services of </w:t>
            </w:r>
            <w:r w:rsidR="00945575">
              <w:rPr>
                <w:rFonts w:ascii="Calibri" w:hAnsi="Calibri" w:cs="Calibri"/>
                <w:color w:val="595959" w:themeColor="text1" w:themeTint="A6"/>
                <w:sz w:val="20"/>
                <w:szCs w:val="20"/>
              </w:rPr>
              <w:t xml:space="preserve">test </w:t>
            </w:r>
            <w:r w:rsidRPr="007510ED">
              <w:rPr>
                <w:rFonts w:ascii="Calibri" w:hAnsi="Calibri" w:cs="Calibri"/>
                <w:color w:val="595959" w:themeColor="text1" w:themeTint="A6"/>
                <w:sz w:val="20"/>
                <w:szCs w:val="20"/>
              </w:rPr>
              <w:t>laboratories, certification agencies and code evaluation agencies that are accredited under international</w:t>
            </w:r>
            <w:r w:rsidR="00945575">
              <w:rPr>
                <w:rFonts w:ascii="Calibri" w:hAnsi="Calibri" w:cs="Calibri"/>
                <w:color w:val="595959" w:themeColor="text1" w:themeTint="A6"/>
                <w:sz w:val="20"/>
                <w:szCs w:val="20"/>
              </w:rPr>
              <w:t xml:space="preserve">ly accepted </w:t>
            </w:r>
            <w:r w:rsidRPr="007510ED">
              <w:rPr>
                <w:rFonts w:ascii="Calibri" w:hAnsi="Calibri" w:cs="Calibri"/>
                <w:color w:val="595959" w:themeColor="text1" w:themeTint="A6"/>
                <w:sz w:val="20"/>
                <w:szCs w:val="20"/>
              </w:rPr>
              <w:t>standards</w:t>
            </w:r>
            <w:r w:rsidR="009F0F65">
              <w:rPr>
                <w:rFonts w:ascii="Calibri" w:hAnsi="Calibri" w:cs="Calibri"/>
                <w:color w:val="595959" w:themeColor="text1" w:themeTint="A6"/>
                <w:sz w:val="20"/>
                <w:szCs w:val="20"/>
              </w:rPr>
              <w:t xml:space="preserve">. </w:t>
            </w:r>
            <w:r w:rsidR="00AB4457">
              <w:rPr>
                <w:rFonts w:ascii="Calibri" w:hAnsi="Calibri" w:cs="Calibri"/>
                <w:color w:val="595959" w:themeColor="text1" w:themeTint="A6"/>
                <w:sz w:val="20"/>
                <w:szCs w:val="20"/>
              </w:rPr>
              <w:t xml:space="preserve">Accreditation </w:t>
            </w:r>
            <w:r w:rsidR="002B556F">
              <w:rPr>
                <w:rFonts w:ascii="Calibri" w:hAnsi="Calibri" w:cs="Calibri"/>
                <w:color w:val="595959" w:themeColor="text1" w:themeTint="A6"/>
                <w:sz w:val="20"/>
                <w:szCs w:val="20"/>
              </w:rPr>
              <w:t>provid</w:t>
            </w:r>
            <w:r w:rsidR="00AB4457">
              <w:rPr>
                <w:rFonts w:ascii="Calibri" w:hAnsi="Calibri" w:cs="Calibri"/>
                <w:color w:val="595959" w:themeColor="text1" w:themeTint="A6"/>
                <w:sz w:val="20"/>
                <w:szCs w:val="20"/>
              </w:rPr>
              <w:t>es</w:t>
            </w:r>
            <w:r w:rsidR="002B556F">
              <w:rPr>
                <w:rFonts w:ascii="Calibri" w:hAnsi="Calibri" w:cs="Calibri"/>
                <w:color w:val="595959" w:themeColor="text1" w:themeTint="A6"/>
                <w:sz w:val="20"/>
                <w:szCs w:val="20"/>
              </w:rPr>
              <w:t xml:space="preserve"> assurance</w:t>
            </w:r>
            <w:r w:rsidRPr="007510ED">
              <w:rPr>
                <w:rFonts w:ascii="Calibri" w:hAnsi="Calibri" w:cs="Calibri"/>
                <w:color w:val="595959" w:themeColor="text1" w:themeTint="A6"/>
                <w:sz w:val="20"/>
                <w:szCs w:val="20"/>
              </w:rPr>
              <w:t xml:space="preserve"> that the agenc</w:t>
            </w:r>
            <w:r w:rsidR="00945575">
              <w:rPr>
                <w:rFonts w:ascii="Calibri" w:hAnsi="Calibri" w:cs="Calibri"/>
                <w:color w:val="595959" w:themeColor="text1" w:themeTint="A6"/>
                <w:sz w:val="20"/>
                <w:szCs w:val="20"/>
              </w:rPr>
              <w:t>y</w:t>
            </w:r>
            <w:r w:rsidRPr="007510ED">
              <w:rPr>
                <w:rFonts w:ascii="Calibri" w:hAnsi="Calibri" w:cs="Calibri"/>
                <w:color w:val="595959" w:themeColor="text1" w:themeTint="A6"/>
                <w:sz w:val="20"/>
                <w:szCs w:val="20"/>
              </w:rPr>
              <w:t xml:space="preserve"> operate</w:t>
            </w:r>
            <w:r w:rsidR="00945575">
              <w:rPr>
                <w:rFonts w:ascii="Calibri" w:hAnsi="Calibri" w:cs="Calibri"/>
                <w:color w:val="595959" w:themeColor="text1" w:themeTint="A6"/>
                <w:sz w:val="20"/>
                <w:szCs w:val="20"/>
              </w:rPr>
              <w:t>s</w:t>
            </w:r>
            <w:r w:rsidRPr="007510ED">
              <w:rPr>
                <w:rFonts w:ascii="Calibri" w:hAnsi="Calibri" w:cs="Calibri"/>
                <w:color w:val="595959" w:themeColor="text1" w:themeTint="A6"/>
                <w:sz w:val="20"/>
                <w:szCs w:val="20"/>
              </w:rPr>
              <w:t xml:space="preserve"> at a minimum level of competence and independence.</w:t>
            </w:r>
          </w:p>
          <w:p w14:paraId="2C7B793F" w14:textId="77777777" w:rsidR="008414D0" w:rsidRPr="007510ED" w:rsidRDefault="008414D0" w:rsidP="009F0F65">
            <w:pPr>
              <w:tabs>
                <w:tab w:val="left" w:pos="612"/>
              </w:tabs>
              <w:spacing w:before="80" w:after="80" w:line="240" w:lineRule="auto"/>
              <w:ind w:right="140"/>
              <w:rPr>
                <w:rFonts w:ascii="Calibri" w:hAnsi="Calibri" w:cs="Calibri"/>
                <w:color w:val="595959" w:themeColor="text1" w:themeTint="A6"/>
                <w:sz w:val="20"/>
                <w:szCs w:val="20"/>
              </w:rPr>
            </w:pPr>
          </w:p>
        </w:tc>
      </w:tr>
      <w:tr w:rsidR="008414D0" w:rsidRPr="00272358" w14:paraId="3D97D25A" w14:textId="77777777" w:rsidTr="008414D0">
        <w:trPr>
          <w:trHeight w:val="1080"/>
        </w:trPr>
        <w:tc>
          <w:tcPr>
            <w:tcW w:w="10436" w:type="dxa"/>
            <w:gridSpan w:val="2"/>
            <w:shd w:val="clear" w:color="auto" w:fill="auto"/>
          </w:tcPr>
          <w:p w14:paraId="18C7A1D3" w14:textId="77777777" w:rsidR="008414D0" w:rsidRPr="008414D0" w:rsidRDefault="008414D0" w:rsidP="009F0F65">
            <w:pPr>
              <w:tabs>
                <w:tab w:val="left" w:pos="612"/>
              </w:tabs>
              <w:spacing w:before="80" w:after="80" w:line="240" w:lineRule="auto"/>
              <w:ind w:left="252" w:right="140"/>
              <w:jc w:val="center"/>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Refer to the SPRI Informational Paper and Appendix for a more comprehensive review of code evaluations and supplemental information on requirements for testing, certification and code evaluation agencies.</w:t>
            </w:r>
          </w:p>
        </w:tc>
      </w:tr>
    </w:tbl>
    <w:p w14:paraId="046D911A" w14:textId="77777777" w:rsidR="00CD542E" w:rsidRPr="00272358" w:rsidRDefault="006D5F5B" w:rsidP="0080723B">
      <w:r>
        <w:rPr>
          <w:noProof/>
          <w:lang w:eastAsia="en-US"/>
        </w:rPr>
        <mc:AlternateContent>
          <mc:Choice Requires="wps">
            <w:drawing>
              <wp:anchor distT="0" distB="0" distL="114300" distR="114300" simplePos="0" relativeHeight="251677696" behindDoc="0" locked="0" layoutInCell="1" allowOverlap="1" wp14:anchorId="5FA7D98B" wp14:editId="45518CA0">
                <wp:simplePos x="0" y="0"/>
                <wp:positionH relativeFrom="column">
                  <wp:posOffset>2093159</wp:posOffset>
                </wp:positionH>
                <wp:positionV relativeFrom="paragraph">
                  <wp:posOffset>8427938</wp:posOffset>
                </wp:positionV>
                <wp:extent cx="2374265" cy="523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noFill/>
                          <a:miter lim="800000"/>
                          <a:headEnd/>
                          <a:tailEnd/>
                        </a:ln>
                      </wps:spPr>
                      <wps:txbx>
                        <w:txbxContent>
                          <w:p w14:paraId="2F175C19" w14:textId="77777777" w:rsidR="00CC017A" w:rsidRPr="006D5F5B" w:rsidRDefault="00CC017A" w:rsidP="006D5F5B">
                            <w:pPr>
                              <w:jc w:val="center"/>
                              <w:rPr>
                                <w:rFonts w:ascii="Calibri" w:hAnsi="Calibri" w:cs="Calibri"/>
                                <w:i/>
                                <w:sz w:val="20"/>
                                <w:szCs w:val="20"/>
                              </w:rPr>
                            </w:pPr>
                            <w:r w:rsidRPr="006D5F5B">
                              <w:rPr>
                                <w:rFonts w:ascii="Calibri" w:hAnsi="Calibri" w:cs="Calibri"/>
                                <w:sz w:val="20"/>
                                <w:szCs w:val="20"/>
                              </w:rPr>
                              <w:t>Copyright © 2015 SPRI</w:t>
                            </w:r>
                            <w:r w:rsidRPr="006D5F5B">
                              <w:rPr>
                                <w:rFonts w:ascii="Calibri" w:hAnsi="Calibri" w:cs="Calibri"/>
                                <w:sz w:val="20"/>
                                <w:szCs w:val="20"/>
                              </w:rPr>
                              <w:br/>
                            </w:r>
                            <w:r w:rsidRPr="006D5F5B">
                              <w:rPr>
                                <w:rFonts w:ascii="Calibri" w:hAnsi="Calibri" w:cs="Calibri"/>
                                <w:i/>
                                <w:sz w:val="20"/>
                                <w:szCs w:val="20"/>
                              </w:rPr>
                              <w:t>All Rights Reserved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9" type="#_x0000_t202" style="position:absolute;margin-left:164.8pt;margin-top:663.6pt;width:186.95pt;height:41.2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JQIAACQEAAAOAAAAZHJzL2Uyb0RvYy54bWysU21v2yAQ/j5p/wHxfbHjJE1qxam6dJkm&#10;dS9Sux+AMY7RgGNAYne/vgdO02z7No0PiOPuHp577ljfDFqRo3BegqnodJJTIgyHRpp9Rb8/7t6t&#10;KPGBmYYpMKKiT8LTm83bN+velqKADlQjHEEQ48veVrQLwZZZ5nknNPMTsMKgswWnWUDT7bPGsR7R&#10;tcqKPL/KenCNdcCF93h7NzrpJuG3reDha9t6EYiqKHILaXdpr+Oebdas3DtmO8lPNNg/sNBMGnz0&#10;DHXHAiMHJ/+C0pI78NCGCQedQdtKLlINWM00/6Oah45ZkWpBcbw9y+T/Hyz/cvzmiGwqOsuXlBim&#10;sUmPYgjkPQykiPr01pcY9mAxMAx4jX1OtXp7D/yHJwa2HTN7cesc9J1gDfKbxszsInXE8RGk7j9D&#10;g8+wQ4AENLROR/FQDoLo2Kenc28iFY6XxWw5L64WlHD0LYrZarlIT7DyJds6Hz4K0CQeKuqw9wmd&#10;He99iGxY+RISH/OgZLOTSiXD7eutcuTIcE52aZ3QfwtThvQVvV4Ui4RsIOanEdIy4BwrqSu6yuOK&#10;6ayManwwTToHJtV4RibKnOSJiozahKEexk7E3ChdDc0T6uVgHFv8ZnjowP2ipMeRraj/eWBOUKI+&#10;GdT8ejqfxxlPxnyxLNBwl5760sMMR6iKBkrG4zakfxFpG7jF3rQyyfbK5EQZRzGpefo2cdYv7RT1&#10;+rk3zwAAAP//AwBQSwMEFAAGAAgAAAAhANA9CiHhAAAADQEAAA8AAABkcnMvZG93bnJldi54bWxM&#10;j8tOwzAQRfdI/QdrKrGjTh1oaIhTIaQIpKxa+AAndh5KPI5iNw1/z7CC5cw9unMmO612ZIuZfe9Q&#10;wn4XATNYO91jK+Hrs3h4BuaDQq1Gh0bCt/Fwyjd3mUq1u+HZLJfQMipBnyoJXQhTyrmvO2OV37nJ&#10;IGWNm60KNM4t17O6UbkduYiiA7eqR7rQqcm8daYeLlcr4aOsi0aUtlnCsLdDea7eiyaR8n67vr4A&#10;C2YNfzD86pM65ORUuStqz0YJsTgeCKUgFokARkgSxU/AKlo9RscEeJ7x/1/kPwAAAP//AwBQSwEC&#10;LQAUAAYACAAAACEAtoM4kv4AAADhAQAAEwAAAAAAAAAAAAAAAAAAAAAAW0NvbnRlbnRfVHlwZXNd&#10;LnhtbFBLAQItABQABgAIAAAAIQA4/SH/1gAAAJQBAAALAAAAAAAAAAAAAAAAAC8BAABfcmVscy8u&#10;cmVsc1BLAQItABQABgAIAAAAIQBZW+/jJQIAACQEAAAOAAAAAAAAAAAAAAAAAC4CAABkcnMvZTJv&#10;RG9jLnhtbFBLAQItABQABgAIAAAAIQDQPQoh4QAAAA0BAAAPAAAAAAAAAAAAAAAAAH8EAABkcnMv&#10;ZG93bnJldi54bWxQSwUGAAAAAAQABADzAAAAjQUAAAAA&#10;" stroked="f">
                <v:textbox>
                  <w:txbxContent>
                    <w:p w:rsidR="00CC017A" w:rsidRPr="006D5F5B" w:rsidRDefault="00CC017A" w:rsidP="006D5F5B">
                      <w:pPr>
                        <w:jc w:val="center"/>
                        <w:rPr>
                          <w:rFonts w:ascii="Calibri" w:hAnsi="Calibri" w:cs="Calibri"/>
                          <w:i/>
                          <w:sz w:val="20"/>
                          <w:szCs w:val="20"/>
                        </w:rPr>
                      </w:pPr>
                      <w:r w:rsidRPr="006D5F5B">
                        <w:rPr>
                          <w:rFonts w:ascii="Calibri" w:hAnsi="Calibri" w:cs="Calibri"/>
                          <w:sz w:val="20"/>
                          <w:szCs w:val="20"/>
                        </w:rPr>
                        <w:t>Copyright © 2015 SPRI</w:t>
                      </w:r>
                      <w:r w:rsidRPr="006D5F5B">
                        <w:rPr>
                          <w:rFonts w:ascii="Calibri" w:hAnsi="Calibri" w:cs="Calibri"/>
                          <w:sz w:val="20"/>
                          <w:szCs w:val="20"/>
                        </w:rPr>
                        <w:br/>
                      </w:r>
                      <w:r w:rsidRPr="006D5F5B">
                        <w:rPr>
                          <w:rFonts w:ascii="Calibri" w:hAnsi="Calibri" w:cs="Calibri"/>
                          <w:i/>
                          <w:sz w:val="20"/>
                          <w:szCs w:val="20"/>
                        </w:rPr>
                        <w:t>All Rights Reserved</w:t>
                      </w:r>
                    </w:p>
                  </w:txbxContent>
                </v:textbox>
              </v:shape>
            </w:pict>
          </mc:Fallback>
        </mc:AlternateContent>
      </w:r>
    </w:p>
    <w:sectPr w:rsidR="00CD542E" w:rsidRPr="00272358" w:rsidSect="005219BA">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86AAB" w14:textId="77777777" w:rsidR="00F074BD" w:rsidRDefault="00F074BD">
      <w:pPr>
        <w:spacing w:after="0" w:line="240" w:lineRule="auto"/>
      </w:pPr>
      <w:r>
        <w:separator/>
      </w:r>
    </w:p>
  </w:endnote>
  <w:endnote w:type="continuationSeparator" w:id="0">
    <w:p w14:paraId="0CDCAA63" w14:textId="77777777" w:rsidR="00F074BD" w:rsidRDefault="00F0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7C2D" w14:textId="77777777" w:rsidR="009F0F65" w:rsidRDefault="009F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C9DD" w14:textId="77777777" w:rsidR="009F0F65" w:rsidRDefault="009F0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A036" w14:textId="77777777" w:rsidR="00CC017A" w:rsidRDefault="00CC017A">
    <w:pPr>
      <w:pStyle w:val="Footer"/>
    </w:pPr>
    <w:r>
      <w:rPr>
        <w:noProof/>
        <w:color w:val="595959" w:themeColor="text1" w:themeTint="A6"/>
        <w:lang w:eastAsia="en-US"/>
      </w:rPr>
      <mc:AlternateContent>
        <mc:Choice Requires="wps">
          <w:drawing>
            <wp:anchor distT="0" distB="0" distL="114300" distR="114300" simplePos="0" relativeHeight="251655168" behindDoc="1" locked="0" layoutInCell="1" allowOverlap="1" wp14:anchorId="31779F89" wp14:editId="55301BC4">
              <wp:simplePos x="0" y="0"/>
              <wp:positionH relativeFrom="margin">
                <wp:align>center</wp:align>
              </wp:positionH>
              <wp:positionV relativeFrom="margin">
                <wp:align>center</wp:align>
              </wp:positionV>
              <wp:extent cx="6830695" cy="9346565"/>
              <wp:effectExtent l="0" t="0" r="27940" b="11430"/>
              <wp:wrapNone/>
              <wp:docPr id="3"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93465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1025" o:spid="_x0000_s1026" style="position:absolute;margin-left:0;margin-top:0;width:537.85pt;height:735.95pt;z-index:-25166131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7AmAIAADYFAAAOAAAAZHJzL2Uyb0RvYy54bWysVF1v2yAUfZ+0/4B4T20njptYdaoqTqZJ&#10;3Vat2w8gBsdofA1InK7af98FJ2m6vUzT/IC5cDmcczlwc3uQAu2ZdVyrCmdXKUZMNZpyta3w1y/r&#10;0Qwj54miRGjFKvzEHL5dvH1z05uSjXWnBWUWAYhyZW8q3HlvyiRxTcckcVfaMAWTrbaSeAjtNqGW&#10;9IAuRTJO0yLptaXG6oY5B6P1MIkXEb9tWeM/ta1jHokKAzcfWxvbTWiTxQ0pt5aYjjdHGuQfWEjC&#10;FWx6hqqJJ2hn+R9QkjdWO936q0bLRLctb1jUAGqy9Dc1jx0xLGqB4jhzLpP7f7DNx/2DRZxWeIKR&#10;IhKO6DMUjaitYChLx9NQod64EhIfzYMNGp251803h5RedpDI7qzVfccIBV5ZyE9eLQiBg6Vo03/Q&#10;FDYgO69jsQ6tlQEQyoAO8UyezmfCDh41MFjMJmkxn2LUwNx8khfTInJKSHlabqzz75iWKHQqbIF/&#10;hCf7e+cDHVKeUsJuSq+5EPHghUI9oE5BZhSmBadhMgbBgmwpLNoTMI8/ZDFH7CSoGMayNHyDh2Ac&#10;nDaMxyHYNbo4QEQO7hJdcg++F1xWeHaBEqq4UjSS84SLoQ9QQgVOUBSQdOwN/nqep/PVbDXLR/m4&#10;WI3ytK5Hd+tlPirW2fW0ntTLZZ39DNSzvOw4pUwFhSevZ/nfeel46waXnt3+SpKz2825XOv4RTNA&#10;HV6UJ69pxMKAqtM/qov2CY4ZnLfR9AncY/VweeGxgU6n7Q+Meri4FXbfd8QyjMR7BQ6cZ3kebnoM&#10;8un1GAJ7ObO5nCGqASg4XoyG7tIPr8POWL7tYKfh2JW+A9e2PPopOHpgBbxDAJczKjg+JOH2X8Yx&#10;6+W5W/wCAAD//wMAUEsDBBQABgAIAAAAIQCdknhi3AAAAAcBAAAPAAAAZHJzL2Rvd25yZXYueG1s&#10;TI9BT8MwDIXvSPyHyEjcWDq00a00nSYkDnCjrThnjWmrJU5p0q3w6/G4wMV61rPe+5zvZmfFCcfQ&#10;e1KwXCQgkBpvemoV1NXz3QZEiJqMtp5QwRcG2BXXV7nOjD/TG57K2AoOoZBpBV2MQyZlaDp0Oiz8&#10;gMTehx+djryOrTSjPnO4s/I+SR6k0z1xQ6cHfOqwOZaTU3D0m9d9NdXf88tq+2mr99LV616p25t5&#10;/wgi4hz/juGCz+hQMNPBT2SCsAr4kfg7L16SrlMQB1ardLkFWeTyP3/xAwAA//8DAFBLAQItABQA&#10;BgAIAAAAIQC2gziS/gAAAOEBAAATAAAAAAAAAAAAAAAAAAAAAABbQ29udGVudF9UeXBlc10ueG1s&#10;UEsBAi0AFAAGAAgAAAAhADj9If/WAAAAlAEAAAsAAAAAAAAAAAAAAAAALwEAAF9yZWxzLy5yZWxz&#10;UEsBAi0AFAAGAAgAAAAhAHGtTsCYAgAANgUAAA4AAAAAAAAAAAAAAAAALgIAAGRycy9lMm9Eb2Mu&#10;eG1sUEsBAi0AFAAGAAgAAAAhAJ2SeGLcAAAABwEAAA8AAAAAAAAAAAAAAAAA8gQAAGRycy9kb3du&#10;cmV2LnhtbFBLBQYAAAAABAAEAPMAAAD7BQAAAAA=&#10;" filled="f" strokecolor="black [3213]">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1CBC" w14:textId="77777777" w:rsidR="00F074BD" w:rsidRDefault="00F074BD">
      <w:pPr>
        <w:spacing w:after="0" w:line="240" w:lineRule="auto"/>
      </w:pPr>
      <w:r>
        <w:separator/>
      </w:r>
    </w:p>
  </w:footnote>
  <w:footnote w:type="continuationSeparator" w:id="0">
    <w:p w14:paraId="3FCCA848" w14:textId="77777777" w:rsidR="00F074BD" w:rsidRDefault="00F07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90B2" w14:textId="77777777" w:rsidR="009F0F65" w:rsidRDefault="009F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9E02" w14:textId="77777777" w:rsidR="00CC017A" w:rsidRDefault="009F0F65">
    <w:pPr>
      <w:pStyle w:val="Header"/>
    </w:pPr>
    <w:r>
      <w:rPr>
        <w:noProof/>
        <w:color w:val="595959" w:themeColor="text1" w:themeTint="A6"/>
        <w:lang w:eastAsia="en-US"/>
      </w:rPr>
      <mc:AlternateContent>
        <mc:Choice Requires="wps">
          <w:drawing>
            <wp:anchor distT="0" distB="0" distL="114300" distR="114300" simplePos="0" relativeHeight="251659264" behindDoc="0" locked="0" layoutInCell="1" allowOverlap="1" wp14:anchorId="79FA1E14" wp14:editId="0B60DC1B">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-2700</wp14:pctPosVOffset>
                  </wp:positionV>
                </mc:Choice>
                <mc:Fallback>
                  <wp:positionV relativeFrom="page">
                    <wp:posOffset>445135</wp:posOffset>
                  </wp:positionV>
                </mc:Fallback>
              </mc:AlternateContent>
              <wp:extent cx="128270" cy="9340850"/>
              <wp:effectExtent l="0" t="0" r="5080" b="0"/>
              <wp:wrapNone/>
              <wp:docPr id="16"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34131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D145" w14:textId="77777777" w:rsidR="00CC017A" w:rsidRDefault="00CC017A">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0</wp14:pctHeight>
              </wp14:sizeRelV>
            </wp:anchor>
          </w:drawing>
        </mc:Choice>
        <mc:Fallback>
          <w:pict>
            <v:rect id="Rectangle 1028" o:spid="_x0000_s1030" style="position:absolute;margin-left:0;margin-top:0;width:10.1pt;height:735.5pt;z-index:251659264;visibility:visible;mso-wrap-style:square;mso-width-percent:20;mso-height-percent:0;mso-left-percent:1015;mso-top-percent:-27;mso-wrap-distance-left:9pt;mso-wrap-distance-top:0;mso-wrap-distance-right:9pt;mso-wrap-distance-bottom:0;mso-position-horizontal-relative:margin;mso-position-vertical-relative:margin;mso-width-percent:20;mso-height-percent:0;mso-left-percent:1015;mso-top-percent:-27;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HCnwIAAEEFAAAOAAAAZHJzL2Uyb0RvYy54bWysVF1v0zAUfUfiP1h+7xJn6UeiptPWUYQ0&#10;YGLwA9zEaSz8he02GYj/zrWzdh28IEQfUt9r+9xzj4+9vBqkQAdmHdeqwuQixYipWjdc7Sr85fNm&#10;ssDIeaoaKrRiFX5kDl+tXr9a9qZkme60aJhFAKJc2ZsKd96bMklc3TFJ3YU2TMFkq62kHkK7SxpL&#10;e0CXIsnSdJb02jbG6po5B9nbcRKvIn7bstp/bFvHPBIVBm4+fm38bsM3WS1pubPUdLx+okH/gYWk&#10;XEHRE9Qt9RTtLf8DSvLaaqdbf1Frmei25TWLPUA3JP2tm4eOGhZ7AXGcOcnk/h9s/eFwbxFv4Oxm&#10;GCkq4Yw+gWpU7QRDJM0WQaLeuBJWPph7G5p05k7XXx1Set3BQnZtre47RhsgRsL65MWGEDjYirb9&#10;e91AAbr3Oqo1tFYGQNABDfFQHk+HwgaPakiSbJHN4ehqmCouc3JJprEELY+7jXX+LdMShUGFLdCP&#10;6PRw53xgQ8vjksheC95suBAxCEZja2HRgYJF/EDiVrGXQHXMkTT8RqdAHvw05mMKsKNXA0Ss5M7R&#10;hQo1lA7VRiJjBnoDamEudBl98qMgWZ7eZMVkM1vMJ/kmn06KebqYpKS4KWZpXuS3m5+BHMnLjjcN&#10;U3dcsaNnSf53nni6PaPbomtRD7pOs2ns+wV7Z3fbkzJRhFPL501K7uEKCy4rvDiTKvjhjWqgbVp6&#10;ysU4Tl7Sj5KBBsf/qEp0TzDMaDw/bAdACS7a6uYRfGQ1HDNYAt4dGHTafseohztcYfdtTy3DSLxT&#10;4MWC5Hm49DHIp/MMAns+sz2foaoGKPAARuNw7ceHYm8s33VQafSG0tfg35ZHaz2zghZCAPc0NvP0&#10;poSH4DyOq55fvtUvAAAA//8DAFBLAwQUAAYACAAAACEAnfagCd0AAAAFAQAADwAAAGRycy9kb3du&#10;cmV2LnhtbEyPwU7DMBBE70j8g7VIvSBqN61aCHEq1KrcUEXLB7jxNgnE6xC7acrXs3CBy0irGc28&#10;zZaDa0SPXag9aZiMFQikwtuaSg1v+83dPYgQDVnTeEINFwywzK+vMpNaf6ZX7HexFFxCITUaqhjb&#10;VMpQVOhMGPsWib2j75yJfHaltJ05c7lrZKLUXDpTEy9UpsVVhcXH7uQ0fG59f1wnXy+L2+fwsJ4X&#10;0/37bKr16GZ4egQRcYh/YfjBZ3TImengT2SDaDTwI/FX2UtUAuLAmdliokDmmfxPn38DAAD//wMA&#10;UEsBAi0AFAAGAAgAAAAhALaDOJL+AAAA4QEAABMAAAAAAAAAAAAAAAAAAAAAAFtDb250ZW50X1R5&#10;cGVzXS54bWxQSwECLQAUAAYACAAAACEAOP0h/9YAAACUAQAACwAAAAAAAAAAAAAAAAAvAQAAX3Jl&#10;bHMvLnJlbHNQSwECLQAUAAYACAAAACEAbpDxwp8CAABBBQAADgAAAAAAAAAAAAAAAAAuAgAAZHJz&#10;L2Uyb0RvYy54bWxQSwECLQAUAAYACAAAACEAnfagCd0AAAAFAQAADwAAAAAAAAAAAAAAAAD5BAAA&#10;ZHJzL2Rvd25yZXYueG1sUEsFBgAAAAAEAAQA8wAAAAMGAAAAAA==&#10;" fillcolor="black [3213]" stroked="f">
              <v:textbox>
                <w:txbxContent>
                  <w:p w:rsidR="00CC017A" w:rsidRDefault="00CC017A">
                    <w:pPr>
                      <w:jc w:val="center"/>
                    </w:pPr>
                  </w:p>
                </w:txbxContent>
              </v:textbox>
              <w10:wrap anchorx="margin" anchory="margin"/>
            </v:rect>
          </w:pict>
        </mc:Fallback>
      </mc:AlternateContent>
    </w:r>
    <w:r w:rsidR="00CC017A">
      <w:rPr>
        <w:noProof/>
        <w:color w:val="000000" w:themeColor="text1"/>
        <w:lang w:eastAsia="en-US"/>
      </w:rPr>
      <mc:AlternateContent>
        <mc:Choice Requires="wps">
          <w:drawing>
            <wp:anchor distT="0" distB="0" distL="114300" distR="114300" simplePos="0" relativeHeight="251661312" behindDoc="0" locked="0" layoutInCell="1" allowOverlap="1" wp14:anchorId="1DE8AE95" wp14:editId="027E5B81">
              <wp:simplePos x="0" y="0"/>
              <wp:positionH relativeFrom="margin">
                <wp:align>center</wp:align>
              </wp:positionH>
              <wp:positionV relativeFrom="margin">
                <wp:align>center</wp:align>
              </wp:positionV>
              <wp:extent cx="6666931" cy="9307773"/>
              <wp:effectExtent l="0" t="0" r="19685"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931" cy="930777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0;margin-top:0;width:524.95pt;height:732.9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YRjgIAAHAFAAAOAAAAZHJzL2Uyb0RvYy54bWysVFFP2zAQfp+0/2D5fSQtLYWIFFUgpkkV&#10;IGDi+XDsNprj82y3affrd3bSwADtYVoeItt3993d5+98frFrNNtK52s0JR8d5ZxJI7Cqzark3x+v&#10;v5xy5gOYCjQaWfK99Pxi/vnTeWsLOcY16ko6RiDGF60t+ToEW2SZF2vZgD9CKw0ZFboGAm3dKqsc&#10;tITe6Gyc5ydZi66yDoX0nk6vOiOfJ3ylpAi3SnkZmC451RbS36X/c/xn83MoVg7suhZ9GfAPVTRQ&#10;G0o6QF1BALZx9TuophYOPapwJLDJUKlayNQDdTPK33TzsAYrUy9EjrcDTf7/wYqb7Z1jdUV3N+HM&#10;QEN3dE+sgVlpyeiMCGqtL8jvwd652KK3SxQ/PBmyPyxx43ufnXJN9KUG2S6xvR/YlrvABB2e0Hd2&#10;POJMkO3sOJ/NZscxXQbFIdw6H75KbFhclNxRYYll2C596FwPLjGbwetaazqHQhvWEup0PE2QL7Wl&#10;Vdhr2XndS0XdUzXjBJx0Jy+1Y1sgxYAQ0oRRZ1pDJbvjaU5fX+oQkQrXhgAjsqJCBuweIGr6PXbX&#10;Ru8fQ2WS7RCc/62wLniISJnRhCG4qQ26jwA0ddVn7vz72/QdNZGlZ6z2pA2H3dB4K65ruoYl+HAH&#10;jqaE5okmP9zST2kkurFfcbZG9+uj8+hP4iUrZy1NXcn9zw04yZn+ZkjWZ6PJJI5p2kymszFt3GvL&#10;82uL2TSXSNdEGqLq0jL6B31YKofNEz0Qi5iVTGAE5S65CO6wuQzda0BPjJCLRXKj0bQQlubBigge&#10;WY0ye9w9gbO9FgPJ+AYPEwrFG0l2vjHS4GITUNVJry+89nzTWCfh9E9QfDde75PXy0M5/w0AAP//&#10;AwBQSwMEFAAGAAgAAAAhAL15MoDdAAAABwEAAA8AAABkcnMvZG93bnJldi54bWxMj81uwjAQhO+V&#10;eAdrkXorDjRFJI2D+qP2VomSpmcTL3FEvI5sA+Hta3ppL6tZzWrm22I9mp6d0PnOkoD5LAGG1FjV&#10;USvgq3q7WwHzQZKSvSUUcEEP63JyU8hc2TN94mkbWhZDyOdSgA5hyDn3jUYj/cwOSNHbW2dkiKtr&#10;uXLyHMNNzxdJsuRGdhQbtBzwRWNz2B6NgOr9+z409Uan1WX+XNeLj1fnMyFup+PTI7CAY/g7hit+&#10;RIcyMu3skZRnvYD4SPidVy9JswzYLqp0+bACXhb8P3/5AwAA//8DAFBLAQItABQABgAIAAAAIQC2&#10;gziS/gAAAOEBAAATAAAAAAAAAAAAAAAAAAAAAABbQ29udGVudF9UeXBlc10ueG1sUEsBAi0AFAAG&#10;AAgAAAAhADj9If/WAAAAlAEAAAsAAAAAAAAAAAAAAAAALwEAAF9yZWxzLy5yZWxzUEsBAi0AFAAG&#10;AAgAAAAhABYQhhGOAgAAcAUAAA4AAAAAAAAAAAAAAAAALgIAAGRycy9lMm9Eb2MueG1sUEsBAi0A&#10;FAAGAAgAAAAhAL15MoDdAAAABwEAAA8AAAAAAAAAAAAAAAAA6AQAAGRycy9kb3ducmV2LnhtbFBL&#10;BQYAAAAABAAEAPMAAADyBQAAAAA=&#10;" filled="f" strokecolor="#243f60 [1604]">
              <v:path arrowok="t"/>
              <w10:wrap anchorx="margin" anchory="margin"/>
            </v:rect>
          </w:pict>
        </mc:Fallback>
      </mc:AlternateContent>
    </w:r>
    <w:sdt>
      <w:sdtPr>
        <w:alias w:val="Company"/>
        <w:id w:val="2070375419"/>
        <w:dataBinding w:prefixMappings="xmlns:ns0='http://schemas.openxmlformats.org/officeDocument/2006/extended-properties'" w:xpath="/ns0:Properties[1]/ns0:Company[1]" w:storeItemID="{6668398D-A668-4E3E-A5EB-62B293D839F1}"/>
        <w:text/>
      </w:sdtPr>
      <w:sdtEndPr/>
      <w:sdtContent>
        <w:r w:rsidR="00CC017A">
          <w:t>SPRI, Inc.</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6302" w14:textId="77777777" w:rsidR="00CC017A" w:rsidRDefault="00CC017A" w:rsidP="00741A08">
    <w:pPr>
      <w:pStyle w:val="Header"/>
      <w:tabs>
        <w:tab w:val="clear" w:pos="4680"/>
        <w:tab w:val="clear" w:pos="9360"/>
        <w:tab w:val="left" w:pos="4050"/>
      </w:tabs>
      <w:spacing w:after="240"/>
    </w:pPr>
    <w:r>
      <w:rPr>
        <w:noProof/>
        <w:color w:val="595959" w:themeColor="text1" w:themeTint="A6"/>
        <w:lang w:eastAsia="en-US"/>
      </w:rPr>
      <mc:AlternateContent>
        <mc:Choice Requires="wps">
          <w:drawing>
            <wp:anchor distT="0" distB="0" distL="274320" distR="274320" simplePos="0" relativeHeight="251656192" behindDoc="0" locked="0" layoutInCell="1" allowOverlap="1" wp14:anchorId="44892161" wp14:editId="5BD264F3">
              <wp:simplePos x="0" y="0"/>
              <mc:AlternateContent>
                <mc:Choice Requires="wp14">
                  <wp:positionH relativeFrom="margin">
                    <wp14:pctPosHOffset>101600</wp14:pctPosHOffset>
                  </wp:positionH>
                </mc:Choice>
                <mc:Fallback>
                  <wp:positionH relativeFrom="page">
                    <wp:posOffset>7188835</wp:posOffset>
                  </wp:positionH>
                </mc:Fallback>
              </mc:AlternateContent>
              <mc:AlternateContent>
                <mc:Choice Requires="wp14">
                  <wp:positionV relativeFrom="margin">
                    <wp14:pctPosVOffset>-2500</wp14:pctPosVOffset>
                  </wp:positionV>
                </mc:Choice>
                <mc:Fallback>
                  <wp:positionV relativeFrom="page">
                    <wp:posOffset>462915</wp:posOffset>
                  </wp:positionV>
                </mc:Fallback>
              </mc:AlternateContent>
              <wp:extent cx="92710" cy="9349740"/>
              <wp:effectExtent l="0" t="0" r="2540" b="381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824" cy="934974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5E927" w14:textId="77777777" w:rsidR="00CC017A" w:rsidRDefault="00CC01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0;margin-top:0;width:7.3pt;height:736.2pt;flip:x;z-index:251656192;visibility:visible;mso-wrap-style:square;mso-width-percent:0;mso-height-percent:0;mso-left-percent:1016;mso-top-percent:-25;mso-wrap-distance-left:21.6pt;mso-wrap-distance-top:0;mso-wrap-distance-right:21.6pt;mso-wrap-distance-bottom:0;mso-position-horizontal-relative:margin;mso-position-vertical-relative:margin;mso-width-percent:0;mso-height-percent:0;mso-left-percent:1016;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yuogIAAE0FAAAOAAAAZHJzL2Uyb0RvYy54bWysVFtv0zAYfUfiP1h+73IhXZto6bQLBaQB&#10;E4Mf4NpOY+HYxnabDMR/57O9dR28IEQfUn++HJ9zfOyz82mQaM+tE1q1uDjJMeKKaibUtsVfPq9n&#10;S4ycJ4oRqRVv8T13+Hz18sXZaBpe6l5Lxi0CEOWa0bS49940WeZozwfiTrThCgY7bQfiobTbjFky&#10;AvogszLPT7NRW2asptw56L1Og3gV8buOU/+x6xz3SLYYuPn4tfG7Cd9sdUaarSWmF/SBBvkHFgMR&#10;CjY9QF0TT9DOij+gBkGtdrrzJ1QPme46QXnUAGqK/Dc1dz0xPGoBc5w52OT+Hyz9sL+1SLAWlxgp&#10;MsARfQLTiNpKjubBntG4BmbdmVsbBDpzo+lXh5S+6mEWv7BWjz0nDEgVYX72bEEoHCxFm/G9ZoBO&#10;dl5Hp6bODqiTwrwNCwM0uIGmeDT3h6Phk0cUOutyWVYYURipX1X1oopHl5EmwITFxjr/husBhUaL&#10;LYiIoGR/43yg9TQlytBSsLWQMhYhbfxKWrQnkBM/JT5yNwDn1Ffk4ZfiAv0QqtT/SCMGNkDEndwx&#10;ulRhD6XDbolI6gFpQC2MBZExLD/qoqzyy7KerU+Xi1m1ruazepEvZ3lRX9aneVVX1+ufQVdRNb1g&#10;jKsbofhjcIvq74LxcIVS5GJ00Qi+zst5tOwZe2e3m4Mz0YSD5GORg/Bwj6UYWrw8sioE47ViIJs0&#10;ngiZ2tlz+tEy8ODxP7oSYxSSkxLop80UYxozFlK10ewecmU1nDbcbHiDoNFr+x2jEe5zi923HbEc&#10;I/lOQTbrooLMIB+Lar4oobDHI5vjEaIoQEEUMErNK58ejZ2xYtvDTikiSl9AnjsRE/bECpSEAu5s&#10;1PTwvoRH4biOs55ewdUvAAAA//8DAFBLAwQUAAYACAAAACEAE5WUJNsAAAAFAQAADwAAAGRycy9k&#10;b3ducmV2LnhtbEyPQUvDQBCF74L/YRnBm91YSiwxmyJFDwqlWvMDJtkxG8zOhuw2Tf31brzYyzyG&#10;N7z3Tb6ZbCdGGnzrWMH9IgFBXDvdcqOg/Hy5W4PwAVlj55gUnMnDpri+yjHT7sQfNB5CI2II+wwV&#10;mBD6TEpfG7LoF64njt6XGyyGuA6N1AOeYrjt5DJJUmmx5dhgsKetofr7cLQK9m/l+r1Kz69jU+5+&#10;zHbc7+hZKnV7Mz09ggg0hf9jmPEjOhSRqXJH1l50CuIj4W/O3ioFUc36sFyBLHJ5SV/8AgAA//8D&#10;AFBLAQItABQABgAIAAAAIQC2gziS/gAAAOEBAAATAAAAAAAAAAAAAAAAAAAAAABbQ29udGVudF9U&#10;eXBlc10ueG1sUEsBAi0AFAAGAAgAAAAhADj9If/WAAAAlAEAAAsAAAAAAAAAAAAAAAAALwEAAF9y&#10;ZWxzLy5yZWxzUEsBAi0AFAAGAAgAAAAhAFcabK6iAgAATQUAAA4AAAAAAAAAAAAAAAAALgIAAGRy&#10;cy9lMm9Eb2MueG1sUEsBAi0AFAAGAAgAAAAhABOVlCTbAAAABQEAAA8AAAAAAAAAAAAAAAAA/AQA&#10;AGRycy9kb3ducmV2LnhtbFBLBQYAAAAABAAEAPMAAAAEBgAAAAA=&#10;" fillcolor="black [3213]" stroked="f">
              <v:textbox>
                <w:txbxContent>
                  <w:p w:rsidR="00CC017A" w:rsidRDefault="00CC017A">
                    <w:pPr>
                      <w:jc w:val="center"/>
                    </w:pPr>
                    <w:bookmarkStart w:id="1" w:name="_GoBack"/>
                    <w:bookmarkEnd w:id="1"/>
                  </w:p>
                </w:txbxContent>
              </v:textbox>
              <w10:wrap type="square" anchorx="margin" anchory="margin"/>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94FA1"/>
    <w:multiLevelType w:val="hybridMultilevel"/>
    <w:tmpl w:val="6942AAA8"/>
    <w:lvl w:ilvl="0" w:tplc="82BE568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15:restartNumberingAfterBreak="0">
    <w:nsid w:val="3131563A"/>
    <w:multiLevelType w:val="hybridMultilevel"/>
    <w:tmpl w:val="6986B8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15:restartNumberingAfterBreak="0">
    <w:nsid w:val="3E8C3B53"/>
    <w:multiLevelType w:val="hybridMultilevel"/>
    <w:tmpl w:val="4A96A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96081"/>
    <w:multiLevelType w:val="hybridMultilevel"/>
    <w:tmpl w:val="0F709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A6625"/>
    <w:multiLevelType w:val="hybridMultilevel"/>
    <w:tmpl w:val="CA0E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C1FEA"/>
    <w:multiLevelType w:val="hybridMultilevel"/>
    <w:tmpl w:val="109C89D0"/>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17"/>
  </w:num>
  <w:num w:numId="5">
    <w:abstractNumId w:val="3"/>
  </w:num>
  <w:num w:numId="6">
    <w:abstractNumId w:val="13"/>
  </w:num>
  <w:num w:numId="7">
    <w:abstractNumId w:val="5"/>
  </w:num>
  <w:num w:numId="8">
    <w:abstractNumId w:val="18"/>
  </w:num>
  <w:num w:numId="9">
    <w:abstractNumId w:val="8"/>
  </w:num>
  <w:num w:numId="10">
    <w:abstractNumId w:val="1"/>
  </w:num>
  <w:num w:numId="11">
    <w:abstractNumId w:val="9"/>
  </w:num>
  <w:num w:numId="12">
    <w:abstractNumId w:val="6"/>
  </w:num>
  <w:num w:numId="13">
    <w:abstractNumId w:val="10"/>
  </w:num>
  <w:num w:numId="14">
    <w:abstractNumId w:val="4"/>
  </w:num>
  <w:num w:numId="15">
    <w:abstractNumId w:val="12"/>
  </w:num>
  <w:num w:numId="16">
    <w:abstractNumId w:val="15"/>
  </w:num>
  <w:num w:numId="17">
    <w:abstractNumId w:val="11"/>
  </w:num>
  <w:num w:numId="18">
    <w:abstractNumId w:val="16"/>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removeDateAndTime/>
  <w:proofState w:spelling="clean" w:grammar="clean"/>
  <w:attachedTemplate r:id="rId1"/>
  <w:trackRevisions/>
  <w:defaultTabStop w:val="706"/>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416"/>
    <w:rsid w:val="00024854"/>
    <w:rsid w:val="0003213C"/>
    <w:rsid w:val="0003752A"/>
    <w:rsid w:val="00051EC6"/>
    <w:rsid w:val="000629A6"/>
    <w:rsid w:val="00083B0A"/>
    <w:rsid w:val="000B0BF9"/>
    <w:rsid w:val="000C666F"/>
    <w:rsid w:val="000F4FCA"/>
    <w:rsid w:val="00107752"/>
    <w:rsid w:val="00123920"/>
    <w:rsid w:val="00140770"/>
    <w:rsid w:val="00174B82"/>
    <w:rsid w:val="001802B3"/>
    <w:rsid w:val="00183F4E"/>
    <w:rsid w:val="0018637E"/>
    <w:rsid w:val="001A30A9"/>
    <w:rsid w:val="001D4915"/>
    <w:rsid w:val="001E7629"/>
    <w:rsid w:val="001F23DE"/>
    <w:rsid w:val="001F6E31"/>
    <w:rsid w:val="001F72AD"/>
    <w:rsid w:val="00204187"/>
    <w:rsid w:val="00217690"/>
    <w:rsid w:val="00232625"/>
    <w:rsid w:val="0026062F"/>
    <w:rsid w:val="00262CCE"/>
    <w:rsid w:val="00272358"/>
    <w:rsid w:val="002812FD"/>
    <w:rsid w:val="002878A8"/>
    <w:rsid w:val="0029141D"/>
    <w:rsid w:val="002A45AE"/>
    <w:rsid w:val="002B556F"/>
    <w:rsid w:val="002E37E3"/>
    <w:rsid w:val="003030E5"/>
    <w:rsid w:val="00330F87"/>
    <w:rsid w:val="003317A6"/>
    <w:rsid w:val="00340051"/>
    <w:rsid w:val="00371E3F"/>
    <w:rsid w:val="00377C03"/>
    <w:rsid w:val="00384558"/>
    <w:rsid w:val="003909C6"/>
    <w:rsid w:val="003B5301"/>
    <w:rsid w:val="003C4C90"/>
    <w:rsid w:val="003D7AD4"/>
    <w:rsid w:val="003F7F2B"/>
    <w:rsid w:val="00406CA9"/>
    <w:rsid w:val="00433485"/>
    <w:rsid w:val="00433C86"/>
    <w:rsid w:val="004412EC"/>
    <w:rsid w:val="00443D59"/>
    <w:rsid w:val="00463050"/>
    <w:rsid w:val="00472290"/>
    <w:rsid w:val="00476AB4"/>
    <w:rsid w:val="004A0219"/>
    <w:rsid w:val="004B33DC"/>
    <w:rsid w:val="004C281D"/>
    <w:rsid w:val="00510FE4"/>
    <w:rsid w:val="005219BA"/>
    <w:rsid w:val="00527917"/>
    <w:rsid w:val="00542AD1"/>
    <w:rsid w:val="0056100B"/>
    <w:rsid w:val="00563B2A"/>
    <w:rsid w:val="00564712"/>
    <w:rsid w:val="00577A81"/>
    <w:rsid w:val="0058347B"/>
    <w:rsid w:val="005966DE"/>
    <w:rsid w:val="005A256A"/>
    <w:rsid w:val="005C0FC0"/>
    <w:rsid w:val="005C25A5"/>
    <w:rsid w:val="005D07CA"/>
    <w:rsid w:val="006166E2"/>
    <w:rsid w:val="0066006B"/>
    <w:rsid w:val="006637D5"/>
    <w:rsid w:val="00667F07"/>
    <w:rsid w:val="0068078B"/>
    <w:rsid w:val="006A2998"/>
    <w:rsid w:val="006A49E8"/>
    <w:rsid w:val="006D5F5B"/>
    <w:rsid w:val="007242C2"/>
    <w:rsid w:val="007364ED"/>
    <w:rsid w:val="00741A08"/>
    <w:rsid w:val="007510ED"/>
    <w:rsid w:val="00751262"/>
    <w:rsid w:val="00771331"/>
    <w:rsid w:val="007B0F1B"/>
    <w:rsid w:val="007C2BF0"/>
    <w:rsid w:val="007D44AB"/>
    <w:rsid w:val="007D66CF"/>
    <w:rsid w:val="0080723B"/>
    <w:rsid w:val="0081003D"/>
    <w:rsid w:val="00824C9B"/>
    <w:rsid w:val="0084044F"/>
    <w:rsid w:val="008414D0"/>
    <w:rsid w:val="00853654"/>
    <w:rsid w:val="00872656"/>
    <w:rsid w:val="00875EE0"/>
    <w:rsid w:val="008C613D"/>
    <w:rsid w:val="008E5FED"/>
    <w:rsid w:val="00901B95"/>
    <w:rsid w:val="00915416"/>
    <w:rsid w:val="00941DA7"/>
    <w:rsid w:val="00945575"/>
    <w:rsid w:val="00945DDD"/>
    <w:rsid w:val="00957FE6"/>
    <w:rsid w:val="00985F3B"/>
    <w:rsid w:val="00995CE3"/>
    <w:rsid w:val="009B7A90"/>
    <w:rsid w:val="009D3F02"/>
    <w:rsid w:val="009F0F65"/>
    <w:rsid w:val="009F1E48"/>
    <w:rsid w:val="00A02F68"/>
    <w:rsid w:val="00A05E8D"/>
    <w:rsid w:val="00A11D32"/>
    <w:rsid w:val="00A31D52"/>
    <w:rsid w:val="00A50A9E"/>
    <w:rsid w:val="00AA6D30"/>
    <w:rsid w:val="00AB0450"/>
    <w:rsid w:val="00AB4457"/>
    <w:rsid w:val="00AD2383"/>
    <w:rsid w:val="00AE55B6"/>
    <w:rsid w:val="00AE5BC4"/>
    <w:rsid w:val="00AF37D4"/>
    <w:rsid w:val="00B21F41"/>
    <w:rsid w:val="00B2735E"/>
    <w:rsid w:val="00B3383B"/>
    <w:rsid w:val="00B5421B"/>
    <w:rsid w:val="00BC01BB"/>
    <w:rsid w:val="00BD4466"/>
    <w:rsid w:val="00BE0FA7"/>
    <w:rsid w:val="00BE75DB"/>
    <w:rsid w:val="00C001AC"/>
    <w:rsid w:val="00C1354E"/>
    <w:rsid w:val="00C60A2C"/>
    <w:rsid w:val="00C73F5E"/>
    <w:rsid w:val="00C77F37"/>
    <w:rsid w:val="00C85238"/>
    <w:rsid w:val="00CA28D3"/>
    <w:rsid w:val="00CC017A"/>
    <w:rsid w:val="00CD2AAD"/>
    <w:rsid w:val="00CD542E"/>
    <w:rsid w:val="00CE42D9"/>
    <w:rsid w:val="00CE5D4B"/>
    <w:rsid w:val="00CF025E"/>
    <w:rsid w:val="00D226A0"/>
    <w:rsid w:val="00D254E9"/>
    <w:rsid w:val="00D348E9"/>
    <w:rsid w:val="00D52706"/>
    <w:rsid w:val="00D72A5D"/>
    <w:rsid w:val="00D7645E"/>
    <w:rsid w:val="00D76B27"/>
    <w:rsid w:val="00D80643"/>
    <w:rsid w:val="00D931C6"/>
    <w:rsid w:val="00DB0B20"/>
    <w:rsid w:val="00DB0F79"/>
    <w:rsid w:val="00DB4F7A"/>
    <w:rsid w:val="00DF05E1"/>
    <w:rsid w:val="00E02BA1"/>
    <w:rsid w:val="00E278D8"/>
    <w:rsid w:val="00E4336D"/>
    <w:rsid w:val="00E64298"/>
    <w:rsid w:val="00E84A41"/>
    <w:rsid w:val="00E85D30"/>
    <w:rsid w:val="00E9788D"/>
    <w:rsid w:val="00EA5F0C"/>
    <w:rsid w:val="00EB7D77"/>
    <w:rsid w:val="00EE5794"/>
    <w:rsid w:val="00EF5BEF"/>
    <w:rsid w:val="00F074BD"/>
    <w:rsid w:val="00F261DF"/>
    <w:rsid w:val="00F30FD3"/>
    <w:rsid w:val="00F41E12"/>
    <w:rsid w:val="00F77D85"/>
    <w:rsid w:val="00F92CE2"/>
    <w:rsid w:val="00FA7EF9"/>
    <w:rsid w:val="00FB00B9"/>
    <w:rsid w:val="00FB5576"/>
    <w:rsid w:val="00FC0270"/>
    <w:rsid w:val="00FD017B"/>
    <w:rsid w:val="00FD7089"/>
    <w:rsid w:val="00FD760A"/>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CBDDE"/>
  <w15:docId w15:val="{6BAAB78C-B5E1-8D4C-87F6-C33097D4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4F81BD"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4F81BD" w:themeColor="accent1"/>
      <w:sz w:val="28"/>
    </w:rPr>
  </w:style>
  <w:style w:type="character" w:customStyle="1" w:styleId="QuoteChar">
    <w:name w:val="Quote Char"/>
    <w:basedOn w:val="DefaultParagraphFont"/>
    <w:link w:val="Quote"/>
    <w:uiPriority w:val="29"/>
    <w:rPr>
      <w:i/>
      <w:iCs/>
      <w:color w:val="4F81BD"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4F81BD" w:themeColor="accent1"/>
    </w:rPr>
  </w:style>
  <w:style w:type="character" w:styleId="IntenseEmphasis">
    <w:name w:val="Intense Emphasis"/>
    <w:basedOn w:val="DefaultParagraphFont"/>
    <w:uiPriority w:val="21"/>
    <w:qFormat/>
    <w:rPr>
      <w:b/>
      <w:bCs/>
      <w:i/>
      <w:iCs/>
      <w:color w:val="1F497D" w:themeColor="text2"/>
    </w:rPr>
  </w:style>
  <w:style w:type="character" w:styleId="SubtleReference">
    <w:name w:val="Subtle Reference"/>
    <w:basedOn w:val="DefaultParagraphFont"/>
    <w:uiPriority w:val="31"/>
    <w:qFormat/>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CE5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avis\AppData\Roaming\Microsoft\Templates\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2.xml><?xml version="1.0" encoding="utf-8"?>
<ds:datastoreItem xmlns:ds="http://schemas.openxmlformats.org/officeDocument/2006/customXml" ds:itemID="{2C342972-F5C8-FE41-8D72-9724F310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C:\Users\badavis\AppData\Roaming\Microsoft\Templates\EssentialLetter.dotx</Template>
  <TotalTime>24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SPRI, Inc.</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Brian</dc:creator>
  <cp:lastModifiedBy>Mike Ennis</cp:lastModifiedBy>
  <cp:revision>6</cp:revision>
  <cp:lastPrinted>2015-02-23T15:44:00Z</cp:lastPrinted>
  <dcterms:created xsi:type="dcterms:W3CDTF">2014-12-23T14:53:00Z</dcterms:created>
  <dcterms:modified xsi:type="dcterms:W3CDTF">2023-07-05T12:22:00Z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